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52FF4" w14:textId="4754A0D8" w:rsidR="00FF093E" w:rsidRDefault="00FF093E" w:rsidP="00FF093E">
      <w:pPr>
        <w:spacing w:line="480" w:lineRule="auto"/>
        <w:jc w:val="left"/>
        <w:rPr>
          <w:b/>
          <w:bCs/>
          <w:sz w:val="28"/>
          <w:szCs w:val="36"/>
        </w:rPr>
      </w:pPr>
      <w:r w:rsidRPr="00FF093E">
        <w:rPr>
          <w:b/>
          <w:bCs/>
          <w:sz w:val="28"/>
          <w:szCs w:val="36"/>
        </w:rPr>
        <w:t>Supplementary materials</w:t>
      </w:r>
    </w:p>
    <w:p w14:paraId="7B370DCC" w14:textId="3B17FD17" w:rsidR="00E81DAB" w:rsidRPr="00E81DAB" w:rsidRDefault="00E81DAB" w:rsidP="00E81DAB">
      <w:pPr>
        <w:spacing w:line="480" w:lineRule="auto"/>
        <w:jc w:val="center"/>
        <w:rPr>
          <w:b/>
          <w:bCs/>
          <w:sz w:val="36"/>
          <w:szCs w:val="44"/>
        </w:rPr>
      </w:pPr>
      <w:r w:rsidRPr="00E81DAB">
        <w:rPr>
          <w:b/>
          <w:bCs/>
          <w:sz w:val="28"/>
          <w:szCs w:val="36"/>
        </w:rPr>
        <w:t>Materials and methods</w:t>
      </w:r>
    </w:p>
    <w:p w14:paraId="0A195069" w14:textId="2EE62B9A" w:rsidR="00E81DAB" w:rsidRPr="00E81DAB" w:rsidRDefault="00E81DAB" w:rsidP="00E81DAB">
      <w:pPr>
        <w:spacing w:line="480" w:lineRule="auto"/>
        <w:rPr>
          <w:b/>
          <w:bCs/>
          <w:sz w:val="24"/>
          <w:szCs w:val="32"/>
        </w:rPr>
      </w:pPr>
      <w:r w:rsidRPr="00E81DAB">
        <w:rPr>
          <w:rFonts w:hint="eastAsia"/>
          <w:b/>
          <w:bCs/>
          <w:sz w:val="24"/>
          <w:szCs w:val="32"/>
        </w:rPr>
        <w:t>Target proteins</w:t>
      </w:r>
    </w:p>
    <w:p w14:paraId="082E8505" w14:textId="77777777" w:rsidR="00E81DAB" w:rsidRDefault="00E81DAB" w:rsidP="00E81DAB">
      <w:pPr>
        <w:spacing w:line="480" w:lineRule="auto"/>
        <w:rPr>
          <w:sz w:val="24"/>
          <w:szCs w:val="32"/>
        </w:rPr>
      </w:pPr>
      <w:r>
        <w:rPr>
          <w:sz w:val="24"/>
          <w:szCs w:val="32"/>
        </w:rPr>
        <w:t>T</w:t>
      </w:r>
      <w:r>
        <w:rPr>
          <w:rFonts w:hint="eastAsia"/>
          <w:sz w:val="24"/>
          <w:szCs w:val="32"/>
        </w:rPr>
        <w:t xml:space="preserve">wo sources of proteins </w:t>
      </w:r>
      <w:r>
        <w:rPr>
          <w:sz w:val="24"/>
          <w:szCs w:val="32"/>
        </w:rPr>
        <w:t xml:space="preserve">were </w:t>
      </w:r>
      <w:r>
        <w:rPr>
          <w:rFonts w:hint="eastAsia"/>
          <w:sz w:val="24"/>
          <w:szCs w:val="32"/>
        </w:rPr>
        <w:t>used in the study. One source was purchased from the c</w:t>
      </w:r>
      <w:r>
        <w:rPr>
          <w:sz w:val="24"/>
          <w:szCs w:val="32"/>
        </w:rPr>
        <w:t>ommercialization approach</w:t>
      </w:r>
      <w:r>
        <w:rPr>
          <w:rFonts w:hint="eastAsia"/>
          <w:sz w:val="24"/>
          <w:szCs w:val="32"/>
        </w:rPr>
        <w:t xml:space="preserve">, including human </w:t>
      </w:r>
      <w:r w:rsidRPr="00D8499C">
        <w:rPr>
          <w:sz w:val="24"/>
          <w:szCs w:val="32"/>
        </w:rPr>
        <w:tab/>
      </w:r>
      <w:r>
        <w:rPr>
          <w:sz w:val="24"/>
          <w:szCs w:val="32"/>
        </w:rPr>
        <w:t>a</w:t>
      </w:r>
      <w:r w:rsidRPr="00D8499C">
        <w:rPr>
          <w:sz w:val="24"/>
          <w:szCs w:val="32"/>
        </w:rPr>
        <w:t>ngiotensin I converting enzyme 2</w:t>
      </w:r>
      <w:r w:rsidRPr="00D8499C">
        <w:rPr>
          <w:rFonts w:hint="eastAsia"/>
          <w:sz w:val="24"/>
          <w:szCs w:val="32"/>
        </w:rPr>
        <w:t xml:space="preserve"> </w:t>
      </w:r>
      <w:r>
        <w:rPr>
          <w:sz w:val="24"/>
          <w:szCs w:val="32"/>
        </w:rPr>
        <w:t>(</w:t>
      </w:r>
      <w:r>
        <w:rPr>
          <w:rFonts w:hint="eastAsia"/>
          <w:sz w:val="24"/>
          <w:szCs w:val="32"/>
        </w:rPr>
        <w:t>ACE-2</w:t>
      </w:r>
      <w:r>
        <w:rPr>
          <w:sz w:val="24"/>
          <w:szCs w:val="32"/>
        </w:rPr>
        <w:t>)</w:t>
      </w:r>
      <w:r>
        <w:rPr>
          <w:rFonts w:hint="eastAsia"/>
          <w:sz w:val="24"/>
          <w:szCs w:val="32"/>
        </w:rPr>
        <w:t xml:space="preserve"> (Mammalian, C-6 His, Cat. C419), human Cathepsin B (CTSB) (from HEK293, Mammalian, C-6His, Cat.C398), human </w:t>
      </w:r>
      <w:proofErr w:type="spellStart"/>
      <w:r w:rsidRPr="00981236">
        <w:rPr>
          <w:sz w:val="24"/>
          <w:szCs w:val="32"/>
        </w:rPr>
        <w:t>Basigin</w:t>
      </w:r>
      <w:proofErr w:type="spellEnd"/>
      <w:r w:rsidRPr="00981236">
        <w:rPr>
          <w:sz w:val="24"/>
          <w:szCs w:val="32"/>
        </w:rPr>
        <w:t> </w:t>
      </w:r>
      <w:r>
        <w:rPr>
          <w:sz w:val="24"/>
          <w:szCs w:val="32"/>
        </w:rPr>
        <w:t>(</w:t>
      </w:r>
      <w:r>
        <w:rPr>
          <w:rFonts w:hint="eastAsia"/>
          <w:sz w:val="24"/>
          <w:szCs w:val="32"/>
        </w:rPr>
        <w:t>CD147</w:t>
      </w:r>
      <w:r>
        <w:rPr>
          <w:sz w:val="24"/>
          <w:szCs w:val="32"/>
        </w:rPr>
        <w:t>)</w:t>
      </w:r>
      <w:r>
        <w:rPr>
          <w:rFonts w:hint="eastAsia"/>
          <w:sz w:val="24"/>
          <w:szCs w:val="32"/>
        </w:rPr>
        <w:t xml:space="preserve"> (Mammalian, Cat. C433), Human AXL (Mammalian, C-6His, Cat.C02B). SARS-CoV-2 Nucleocapsid Protein</w:t>
      </w:r>
      <w:r>
        <w:rPr>
          <w:sz w:val="24"/>
          <w:szCs w:val="32"/>
        </w:rPr>
        <w:t xml:space="preserve"> (N protein) </w:t>
      </w:r>
      <w:r>
        <w:rPr>
          <w:rFonts w:hint="eastAsia"/>
          <w:sz w:val="24"/>
          <w:szCs w:val="32"/>
        </w:rPr>
        <w:t>(</w:t>
      </w:r>
      <w:r>
        <w:rPr>
          <w:i/>
          <w:iCs/>
          <w:sz w:val="24"/>
          <w:szCs w:val="32"/>
        </w:rPr>
        <w:t>E. coli</w:t>
      </w:r>
      <w:r>
        <w:rPr>
          <w:rFonts w:hint="eastAsia"/>
          <w:sz w:val="24"/>
          <w:szCs w:val="32"/>
        </w:rPr>
        <w:t xml:space="preserve">, N-6His, Cat. DRA31), </w:t>
      </w:r>
      <w:r>
        <w:rPr>
          <w:sz w:val="24"/>
          <w:szCs w:val="32"/>
        </w:rPr>
        <w:t>n</w:t>
      </w:r>
      <w:r>
        <w:rPr>
          <w:rFonts w:hint="eastAsia"/>
          <w:sz w:val="24"/>
          <w:szCs w:val="32"/>
        </w:rPr>
        <w:t xml:space="preserve">on-structural protein </w:t>
      </w:r>
      <w:r>
        <w:rPr>
          <w:sz w:val="24"/>
          <w:szCs w:val="32"/>
        </w:rPr>
        <w:t xml:space="preserve">2 of </w:t>
      </w:r>
      <w:r>
        <w:rPr>
          <w:rFonts w:hint="eastAsia"/>
          <w:sz w:val="24"/>
          <w:szCs w:val="32"/>
        </w:rPr>
        <w:t xml:space="preserve">SARS-CoV-2 </w:t>
      </w:r>
      <w:r>
        <w:rPr>
          <w:sz w:val="24"/>
          <w:szCs w:val="32"/>
        </w:rPr>
        <w:t>(</w:t>
      </w:r>
      <w:r>
        <w:rPr>
          <w:rFonts w:hint="eastAsia"/>
          <w:sz w:val="24"/>
          <w:szCs w:val="32"/>
        </w:rPr>
        <w:t>NSP2</w:t>
      </w:r>
      <w:r>
        <w:rPr>
          <w:sz w:val="24"/>
          <w:szCs w:val="32"/>
        </w:rPr>
        <w:t>)</w:t>
      </w:r>
      <w:r>
        <w:rPr>
          <w:rFonts w:hint="eastAsia"/>
          <w:sz w:val="24"/>
          <w:szCs w:val="32"/>
        </w:rPr>
        <w:t xml:space="preserve"> (</w:t>
      </w:r>
      <w:r>
        <w:rPr>
          <w:rFonts w:hint="eastAsia"/>
          <w:i/>
          <w:iCs/>
          <w:sz w:val="24"/>
          <w:szCs w:val="32"/>
        </w:rPr>
        <w:t>E.</w:t>
      </w:r>
      <w:r>
        <w:rPr>
          <w:i/>
          <w:iCs/>
          <w:sz w:val="24"/>
          <w:szCs w:val="32"/>
        </w:rPr>
        <w:t xml:space="preserve"> </w:t>
      </w:r>
      <w:r>
        <w:rPr>
          <w:rFonts w:hint="eastAsia"/>
          <w:i/>
          <w:iCs/>
          <w:sz w:val="24"/>
          <w:szCs w:val="32"/>
        </w:rPr>
        <w:t>coli</w:t>
      </w:r>
      <w:r>
        <w:rPr>
          <w:rFonts w:hint="eastAsia"/>
          <w:sz w:val="24"/>
          <w:szCs w:val="32"/>
        </w:rPr>
        <w:t>, C-6His, CR82), SARS-CoV-2 3C-like Proteinase (</w:t>
      </w:r>
      <w:r>
        <w:rPr>
          <w:sz w:val="24"/>
          <w:szCs w:val="32"/>
        </w:rPr>
        <w:t xml:space="preserve">3CLpro, </w:t>
      </w:r>
      <w:r>
        <w:rPr>
          <w:i/>
          <w:iCs/>
          <w:sz w:val="24"/>
          <w:szCs w:val="32"/>
        </w:rPr>
        <w:t>E. coli</w:t>
      </w:r>
      <w:r>
        <w:rPr>
          <w:rFonts w:hint="eastAsia"/>
          <w:sz w:val="24"/>
          <w:szCs w:val="32"/>
        </w:rPr>
        <w:t xml:space="preserve">, N-6His, CR76), purchased from </w:t>
      </w:r>
      <w:proofErr w:type="spellStart"/>
      <w:r>
        <w:rPr>
          <w:rFonts w:hint="eastAsia"/>
          <w:sz w:val="24"/>
          <w:szCs w:val="32"/>
        </w:rPr>
        <w:t>novoprotein</w:t>
      </w:r>
      <w:proofErr w:type="spellEnd"/>
      <w:r>
        <w:rPr>
          <w:rFonts w:hint="eastAsia"/>
          <w:sz w:val="24"/>
          <w:szCs w:val="32"/>
        </w:rPr>
        <w:t xml:space="preserve"> (Shanghai, China); </w:t>
      </w:r>
      <w:r>
        <w:rPr>
          <w:sz w:val="24"/>
          <w:szCs w:val="32"/>
        </w:rPr>
        <w:t>The other</w:t>
      </w:r>
      <w:r>
        <w:rPr>
          <w:rFonts w:hint="eastAsia"/>
          <w:sz w:val="24"/>
          <w:szCs w:val="32"/>
        </w:rPr>
        <w:t xml:space="preserve"> proteins </w:t>
      </w:r>
      <w:r>
        <w:rPr>
          <w:sz w:val="24"/>
          <w:szCs w:val="32"/>
        </w:rPr>
        <w:t>were</w:t>
      </w:r>
      <w:r>
        <w:rPr>
          <w:rFonts w:hint="eastAsia"/>
          <w:sz w:val="24"/>
          <w:szCs w:val="32"/>
        </w:rPr>
        <w:t xml:space="preserve"> over-expressed in</w:t>
      </w:r>
      <w:r>
        <w:rPr>
          <w:rFonts w:hint="eastAsia"/>
          <w:i/>
          <w:iCs/>
          <w:sz w:val="24"/>
          <w:szCs w:val="32"/>
        </w:rPr>
        <w:t xml:space="preserve"> </w:t>
      </w:r>
      <w:r>
        <w:rPr>
          <w:i/>
          <w:iCs/>
          <w:sz w:val="24"/>
          <w:szCs w:val="32"/>
        </w:rPr>
        <w:t>E. coli</w:t>
      </w:r>
      <w:r>
        <w:rPr>
          <w:rFonts w:hint="eastAsia"/>
          <w:i/>
          <w:iCs/>
          <w:sz w:val="24"/>
          <w:szCs w:val="32"/>
        </w:rPr>
        <w:t xml:space="preserve"> </w:t>
      </w:r>
      <w:r>
        <w:rPr>
          <w:rFonts w:hint="eastAsia"/>
          <w:sz w:val="24"/>
          <w:szCs w:val="32"/>
        </w:rPr>
        <w:t>from the laboratory, the human a</w:t>
      </w:r>
      <w:r>
        <w:rPr>
          <w:sz w:val="24"/>
          <w:szCs w:val="32"/>
        </w:rPr>
        <w:t>nnexi</w:t>
      </w:r>
      <w:r>
        <w:rPr>
          <w:rFonts w:hint="eastAsia"/>
          <w:sz w:val="24"/>
          <w:szCs w:val="32"/>
        </w:rPr>
        <w:t xml:space="preserve">n a2, </w:t>
      </w:r>
      <w:r>
        <w:rPr>
          <w:sz w:val="24"/>
          <w:szCs w:val="32"/>
        </w:rPr>
        <w:t>h</w:t>
      </w:r>
      <w:r w:rsidRPr="00FD416E">
        <w:rPr>
          <w:sz w:val="24"/>
          <w:szCs w:val="32"/>
        </w:rPr>
        <w:t>igh mobility group protein 1</w:t>
      </w:r>
      <w:r>
        <w:rPr>
          <w:sz w:val="24"/>
          <w:szCs w:val="32"/>
        </w:rPr>
        <w:t xml:space="preserve"> (</w:t>
      </w:r>
      <w:r>
        <w:rPr>
          <w:rFonts w:hint="eastAsia"/>
          <w:sz w:val="24"/>
          <w:szCs w:val="32"/>
        </w:rPr>
        <w:t>HMGB1</w:t>
      </w:r>
      <w:r>
        <w:rPr>
          <w:sz w:val="24"/>
          <w:szCs w:val="32"/>
        </w:rPr>
        <w:t>)</w:t>
      </w:r>
      <w:r>
        <w:rPr>
          <w:rFonts w:hint="eastAsia"/>
          <w:sz w:val="24"/>
          <w:szCs w:val="32"/>
        </w:rPr>
        <w:t xml:space="preserve">, </w:t>
      </w:r>
      <w:r>
        <w:rPr>
          <w:sz w:val="24"/>
          <w:szCs w:val="32"/>
        </w:rPr>
        <w:t>n</w:t>
      </w:r>
      <w:r w:rsidRPr="004F5D3D">
        <w:rPr>
          <w:sz w:val="24"/>
          <w:szCs w:val="32"/>
        </w:rPr>
        <w:t>uclear factor kappa B subunit 1</w:t>
      </w:r>
      <w:r>
        <w:rPr>
          <w:sz w:val="24"/>
          <w:szCs w:val="32"/>
        </w:rPr>
        <w:t xml:space="preserve"> </w:t>
      </w:r>
      <w:r>
        <w:rPr>
          <w:rFonts w:hint="eastAsia"/>
          <w:sz w:val="24"/>
          <w:szCs w:val="32"/>
        </w:rPr>
        <w:t>(NFkB1-P</w:t>
      </w:r>
      <w:r>
        <w:rPr>
          <w:sz w:val="24"/>
          <w:szCs w:val="32"/>
        </w:rPr>
        <w:t>50)</w:t>
      </w:r>
      <w:r>
        <w:rPr>
          <w:rFonts w:hint="eastAsia"/>
          <w:sz w:val="24"/>
          <w:szCs w:val="32"/>
        </w:rPr>
        <w:t xml:space="preserve">, </w:t>
      </w:r>
      <w:r>
        <w:rPr>
          <w:sz w:val="24"/>
          <w:szCs w:val="32"/>
        </w:rPr>
        <w:t>m</w:t>
      </w:r>
      <w:r w:rsidRPr="00981236">
        <w:rPr>
          <w:sz w:val="24"/>
          <w:szCs w:val="32"/>
        </w:rPr>
        <w:t>itogen-activated protein kinase 1</w:t>
      </w:r>
      <w:r>
        <w:rPr>
          <w:sz w:val="24"/>
          <w:szCs w:val="32"/>
        </w:rPr>
        <w:t xml:space="preserve"> (</w:t>
      </w:r>
      <w:r>
        <w:rPr>
          <w:rFonts w:hint="eastAsia"/>
          <w:sz w:val="24"/>
          <w:szCs w:val="32"/>
        </w:rPr>
        <w:t>MAPK1</w:t>
      </w:r>
      <w:r>
        <w:rPr>
          <w:sz w:val="24"/>
          <w:szCs w:val="32"/>
        </w:rPr>
        <w:t>)</w:t>
      </w:r>
      <w:r>
        <w:rPr>
          <w:rFonts w:hint="eastAsia"/>
          <w:sz w:val="24"/>
          <w:szCs w:val="32"/>
        </w:rPr>
        <w:t xml:space="preserve">, </w:t>
      </w:r>
      <w:r w:rsidRPr="00981236">
        <w:rPr>
          <w:sz w:val="24"/>
          <w:szCs w:val="32"/>
        </w:rPr>
        <w:t>TGF-beta activated kinase 1</w:t>
      </w:r>
      <w:r>
        <w:rPr>
          <w:sz w:val="24"/>
          <w:szCs w:val="32"/>
        </w:rPr>
        <w:t xml:space="preserve"> (</w:t>
      </w:r>
      <w:r>
        <w:rPr>
          <w:rFonts w:hint="eastAsia"/>
          <w:sz w:val="24"/>
          <w:szCs w:val="32"/>
        </w:rPr>
        <w:t>TAB1</w:t>
      </w:r>
      <w:r>
        <w:rPr>
          <w:sz w:val="24"/>
          <w:szCs w:val="32"/>
        </w:rPr>
        <w:t>)</w:t>
      </w:r>
      <w:r>
        <w:rPr>
          <w:rFonts w:hint="eastAsia"/>
          <w:sz w:val="24"/>
          <w:szCs w:val="32"/>
        </w:rPr>
        <w:t xml:space="preserve"> genes were inserted into the Pet-28a vector with His-tag. Bacteria were lysed by ultrasound and proteins purified by nickel column. All proteins were under unified quality control, which was carried out by gel electrophoresis.</w:t>
      </w:r>
    </w:p>
    <w:p w14:paraId="7BB1BF1E" w14:textId="7170E878" w:rsidR="00E81DAB" w:rsidRPr="0099479A" w:rsidRDefault="00E81DAB" w:rsidP="00E81DAB">
      <w:pPr>
        <w:spacing w:line="480" w:lineRule="auto"/>
        <w:ind w:firstLineChars="200" w:firstLine="480"/>
        <w:rPr>
          <w:sz w:val="24"/>
          <w:szCs w:val="32"/>
        </w:rPr>
      </w:pPr>
      <w:r>
        <w:rPr>
          <w:rFonts w:hint="eastAsia"/>
          <w:sz w:val="24"/>
          <w:szCs w:val="32"/>
        </w:rPr>
        <w:t xml:space="preserve">The reasons of target proteins </w:t>
      </w:r>
      <w:r>
        <w:rPr>
          <w:sz w:val="24"/>
          <w:szCs w:val="32"/>
        </w:rPr>
        <w:t xml:space="preserve">for </w:t>
      </w:r>
      <w:r>
        <w:rPr>
          <w:rFonts w:hint="eastAsia"/>
          <w:sz w:val="24"/>
          <w:szCs w:val="32"/>
        </w:rPr>
        <w:t>selection are as follows: ACE-2, CD147, AXL are the main receptors of the virus</w:t>
      </w:r>
      <w:r>
        <w:rPr>
          <w:sz w:val="24"/>
          <w:szCs w:val="32"/>
        </w:rPr>
        <w:fldChar w:fldCharType="begin"/>
      </w:r>
      <w:r w:rsidR="00C07748">
        <w:rPr>
          <w:sz w:val="24"/>
          <w:szCs w:val="32"/>
        </w:rPr>
        <w:instrText xml:space="preserve"> ADDIN ZOTERO_ITEM CSL_CITATION {"citationID":"LfYtHdzn","properties":{"formattedCitation":"[1]","plainCitation":"[1]","noteIndex":0},"citationItems":[{"id":1047,"uris":["http://zotero.org/users/local/Y4BG4jIg/items/7J6355IA"],"itemData":{"id":1047,"type":"article-journal","abstract":"The current coronavirus disease 2019 (COVID-19) pandemic presents a global public health challenge. The viral pathogen responsible, severe acute respiratory syndrome coronavirus 2 (SARS-CoV-2), binds to the host receptor ACE2 through its spike (S) glycoprotein, which mediates membrane fusion and viral entry. Although the role of ACE2 as a receptor for SARS-CoV-2 is clear, studies have shown that ACE2 expression is extremely low in various human tissues, especially in the respiratory tract. Thus, other host receptors and/or co-receptors that promote the entry of SARS-CoV-2 into cells of the respiratory system may exist. In this study, we found that the tyrosine-protein kinase receptor UFO (AXL) specifically interacts with the N-terminal domain of SARS-CoV-2 S. Using both a SARS-CoV-2 virus pseudotype and authentic SARS-CoV-2, we found that overexpression of AXL in HEK293T cells promotes SARS-CoV-2 entry as efficiently as overexpression of ACE2, while knocking out AXL significantly reduces SARS-CoV-2 infection in H1299 pulmonary cells and in human primary lung epithelial cells. Soluble human recombinant AXL blocks SARS-CoV-2 infection in cells expressing high levels of AXL. The AXL expression level is well correlated with SARS-CoV-2 S level in bronchoalveolar lavage fluid cells from COVID-19 patients. Taken together, our findings suggest that AXL is a novel candidate receptor for SARS-CoV-2 which may play an important role in promoting viral infection of the human respiratory system and indicate that it is a potential target for future clinical intervention strategies.","container-title":"Cell Research","DOI":"10.1038/s41422-020-00460-y","ISSN":"1748-7838","issue":"2","journalAbbreviation":"Cell Res","language":"eng","note":"PMID: 33420426\nPMCID: PMC7791157","page":"126-140","source":"PubMed","title":"AXL is a candidate receptor for SARS-CoV-2 that promotes infection of pulmonary and bronchial epithelial cells","volume":"31","author":[{"family":"Wang","given":"Shuai"},{"family":"Qiu","given":"Zongyang"},{"family":"Hou","given":"Yingnan"},{"family":"Deng","given":"Xiya"},{"family":"Xu","given":"Wei"},{"family":"Zheng","given":"Tingting"},{"family":"Wu","given":"Peihan"},{"family":"Xie","given":"Shaofang"},{"family":"Bian","given":"Weixiang"},{"family":"Zhang","given":"Chong"},{"family":"Sun","given":"Zewei"},{"family":"Liu","given":"Kunpeng"},{"family":"Shan","given":"Chao"},{"family":"Lin","given":"Aifu"},{"family":"Jiang","given":"Shibo"},{"family":"Xie","given":"Youhua"},{"family":"Zhou","given":"Qiang"},{"family":"Lu","given":"Lu"},{"family":"Huang","given":"Jing"},{"family":"Li","given":"Xu"}],"issued":{"date-parts":[["2021",2]]}}}],"schema":"https://github.com/citation-style-language/schema/raw/master/csl-citation.json"} </w:instrText>
      </w:r>
      <w:r>
        <w:rPr>
          <w:sz w:val="24"/>
          <w:szCs w:val="32"/>
        </w:rPr>
        <w:fldChar w:fldCharType="separate"/>
      </w:r>
      <w:r w:rsidR="00C07748" w:rsidRPr="00C07748">
        <w:rPr>
          <w:rFonts w:cs="Calibri"/>
          <w:sz w:val="24"/>
        </w:rPr>
        <w:t>[1]</w:t>
      </w:r>
      <w:r>
        <w:rPr>
          <w:sz w:val="24"/>
          <w:szCs w:val="32"/>
        </w:rPr>
        <w:fldChar w:fldCharType="end"/>
      </w:r>
      <w:r>
        <w:rPr>
          <w:rFonts w:hint="eastAsia"/>
          <w:sz w:val="24"/>
          <w:szCs w:val="32"/>
        </w:rPr>
        <w:t>;</w:t>
      </w:r>
      <w:r>
        <w:rPr>
          <w:sz w:val="24"/>
          <w:szCs w:val="32"/>
        </w:rPr>
        <w:t xml:space="preserve"> </w:t>
      </w:r>
      <w:r>
        <w:rPr>
          <w:rFonts w:hint="eastAsia"/>
          <w:sz w:val="24"/>
          <w:szCs w:val="32"/>
        </w:rPr>
        <w:t xml:space="preserve">Host cell protease CTSB is the key element of the lysosomal </w:t>
      </w:r>
      <w:r>
        <w:rPr>
          <w:sz w:val="24"/>
          <w:szCs w:val="32"/>
        </w:rPr>
        <w:t xml:space="preserve">pathway, </w:t>
      </w:r>
      <w:r>
        <w:rPr>
          <w:rFonts w:hint="eastAsia"/>
          <w:sz w:val="24"/>
          <w:szCs w:val="32"/>
        </w:rPr>
        <w:t>and almost all of them are in lysosomes</w:t>
      </w:r>
      <w:r>
        <w:rPr>
          <w:sz w:val="24"/>
          <w:szCs w:val="32"/>
        </w:rPr>
        <w:fldChar w:fldCharType="begin"/>
      </w:r>
      <w:r w:rsidR="00C07748">
        <w:rPr>
          <w:sz w:val="24"/>
          <w:szCs w:val="32"/>
        </w:rPr>
        <w:instrText xml:space="preserve"> ADDIN ZOTERO_ITEM CSL_CITATION {"citationID":"g2jyh0Ws","properties":{"formattedCitation":"[2]","plainCitation":"[2]","noteIndex":0},"citationItems":[{"id":1050,"uris":["http://zotero.org/users/local/Y4BG4jIg/items/TMZYDRZL"],"itemData":{"id":1050,"type":"article-journal","abstract":"SARS-coronavirus 2 (SARS-CoV-2) has been spreading widely and posing an international challenge for both healthcare and society. At present, cancer has been identified as an individual risk factor for COVID-19. Angiotensin converting enzyme 2 (ACE2) and Cathepsin L/Cathepsin B (CTSL/B), which act as the receptor and entry-associated proteases of SARS-CoV-2 respectively, are pivotal for SARS-CoV-2 infection. To investigate the possible SARS-CoV-2 infection risk of pan-cancer, we analyzed the genetic alterations, RNA expression, DNA methylation, and the association with immune subtypes of ACE2 and CTSL/B with the prognosis in pan-cancer. Results showed the upregulation of CTSL/B and ACE2 in Pancreatic adenocarcinoma (PAAD) and Stomach adenocarcinoma (STAD) and demonstrated a positive correlation between copy number alteration (CNA) and gene expression for CTSB in PAAD and STAD. Hypomethylation and a negative correlation of gene expression and methylation for CTSB were detected in PAAD. In addition, ACE2 and CTSL/B are overexpressed in the IFN-gamma immune subtype of ovarian serous Cystadenocarcinoma (OV), Cervical squamous cell carcinoma and endocervical adenocarcinoma (CESC), and Bladder urothelial carcinoma (BLCA). Our study presents a bioinformatics assessment for the potential risk of SARS-CoV-2 infection in pan-cancer.","container-title":"Aging","DOI":"10.18632/aging.104147","ISSN":"1945-4589","issue":"22","journalAbbreviation":"Aging (Albany NY)","language":"eng","note":"PMID: 33231569\nPMCID: PMC7746364","page":"22370-22389","source":"PubMed","title":"Genomic, epigenomic, and immune subtype analysis of CTSL/B and SARS-CoV-2 receptor ACE2 in pan-cancer","volume":"12","author":[{"family":"Li","given":"Huimin"},{"family":"Xie","given":"Longxiang"},{"family":"Chen","given":"Lin"},{"family":"Zhang","given":"Lu"},{"family":"Han","given":"Yali"},{"family":"Yan","given":"Zhongyi"},{"family":"Guo","given":"Xiangqian"}],"issued":{"date-parts":[["2020",11,20]]}}}],"schema":"https://github.com/citation-style-language/schema/raw/master/csl-citation.json"} </w:instrText>
      </w:r>
      <w:r>
        <w:rPr>
          <w:sz w:val="24"/>
          <w:szCs w:val="32"/>
        </w:rPr>
        <w:fldChar w:fldCharType="separate"/>
      </w:r>
      <w:r w:rsidR="00C07748" w:rsidRPr="00C07748">
        <w:rPr>
          <w:rFonts w:cs="Calibri"/>
          <w:sz w:val="24"/>
        </w:rPr>
        <w:t>[2]</w:t>
      </w:r>
      <w:r>
        <w:rPr>
          <w:sz w:val="24"/>
          <w:szCs w:val="32"/>
        </w:rPr>
        <w:fldChar w:fldCharType="end"/>
      </w:r>
      <w:r>
        <w:rPr>
          <w:rFonts w:hint="eastAsia"/>
          <w:sz w:val="24"/>
          <w:szCs w:val="32"/>
        </w:rPr>
        <w:t>. 3C-like Proteinas</w:t>
      </w:r>
      <w:r>
        <w:rPr>
          <w:sz w:val="24"/>
          <w:szCs w:val="32"/>
        </w:rPr>
        <w:t>e</w:t>
      </w:r>
      <w:r>
        <w:rPr>
          <w:rFonts w:hint="eastAsia"/>
          <w:sz w:val="24"/>
          <w:szCs w:val="32"/>
        </w:rPr>
        <w:t xml:space="preserve"> is main proteases of</w:t>
      </w:r>
      <w:r>
        <w:rPr>
          <w:sz w:val="24"/>
          <w:szCs w:val="32"/>
        </w:rPr>
        <w:t xml:space="preserve"> </w:t>
      </w:r>
      <w:r>
        <w:rPr>
          <w:rFonts w:hint="eastAsia"/>
          <w:sz w:val="24"/>
          <w:szCs w:val="32"/>
        </w:rPr>
        <w:t>SARS-CoV-2</w:t>
      </w:r>
      <w:r>
        <w:rPr>
          <w:sz w:val="24"/>
          <w:szCs w:val="32"/>
        </w:rPr>
        <w:fldChar w:fldCharType="begin"/>
      </w:r>
      <w:r w:rsidR="00C07748">
        <w:rPr>
          <w:sz w:val="24"/>
          <w:szCs w:val="32"/>
        </w:rPr>
        <w:instrText xml:space="preserve"> ADDIN ZOTERO_ITEM CSL_CITATION {"citationID":"36CAlj1N","properties":{"formattedCitation":"[3]","plainCitation":"[3]","noteIndex":0},"citationItems":[{"id":1053,"uris":["http://zotero.org/users/local/Y4BG4jIg/items/Y5NBGPT2"],"itemData":{"id":1053,"type":"webpage","title":"The development of Coronavirus 3C-Like protease (3CL pro) inhibitors from 2010 to 2020 - PubMed","URL":"https://pubmed.ncbi.nlm.nih.gov/32810751/","accessed":{"date-parts":[["2022",5,11]]}}}],"schema":"https://github.com/citation-style-language/schema/raw/master/csl-citation.json"} </w:instrText>
      </w:r>
      <w:r>
        <w:rPr>
          <w:sz w:val="24"/>
          <w:szCs w:val="32"/>
        </w:rPr>
        <w:fldChar w:fldCharType="separate"/>
      </w:r>
      <w:r w:rsidR="00C07748" w:rsidRPr="00C07748">
        <w:rPr>
          <w:rFonts w:cs="Calibri"/>
          <w:sz w:val="24"/>
        </w:rPr>
        <w:t>[3]</w:t>
      </w:r>
      <w:r>
        <w:rPr>
          <w:sz w:val="24"/>
          <w:szCs w:val="32"/>
        </w:rPr>
        <w:fldChar w:fldCharType="end"/>
      </w:r>
      <w:r>
        <w:rPr>
          <w:rFonts w:hint="eastAsia"/>
          <w:sz w:val="24"/>
          <w:szCs w:val="32"/>
        </w:rPr>
        <w:t>.</w:t>
      </w:r>
      <w:r>
        <w:rPr>
          <w:sz w:val="24"/>
          <w:szCs w:val="32"/>
        </w:rPr>
        <w:t xml:space="preserve"> </w:t>
      </w:r>
      <w:r>
        <w:rPr>
          <w:rFonts w:hint="eastAsia"/>
          <w:sz w:val="24"/>
          <w:szCs w:val="32"/>
        </w:rPr>
        <w:t xml:space="preserve">NSP2 </w:t>
      </w:r>
      <w:r>
        <w:rPr>
          <w:sz w:val="24"/>
          <w:szCs w:val="32"/>
        </w:rPr>
        <w:t>is</w:t>
      </w:r>
      <w:r>
        <w:rPr>
          <w:rFonts w:hint="eastAsia"/>
          <w:sz w:val="24"/>
          <w:szCs w:val="32"/>
        </w:rPr>
        <w:t xml:space="preserve"> involved in RNA transcription and replication.</w:t>
      </w:r>
      <w:r w:rsidRPr="00411485">
        <w:rPr>
          <w:sz w:val="24"/>
          <w:szCs w:val="32"/>
          <w:vertAlign w:val="superscript"/>
        </w:rPr>
        <w:t xml:space="preserve"> </w:t>
      </w:r>
      <w:r>
        <w:rPr>
          <w:rFonts w:hint="eastAsia"/>
          <w:sz w:val="24"/>
          <w:szCs w:val="32"/>
        </w:rPr>
        <w:t>NF</w:t>
      </w:r>
      <w:r>
        <w:rPr>
          <w:sz w:val="24"/>
          <w:szCs w:val="32"/>
        </w:rPr>
        <w:t>κ</w:t>
      </w:r>
      <w:r>
        <w:rPr>
          <w:rFonts w:hint="eastAsia"/>
          <w:sz w:val="24"/>
          <w:szCs w:val="32"/>
        </w:rPr>
        <w:t>B</w:t>
      </w:r>
      <w:r>
        <w:rPr>
          <w:sz w:val="24"/>
          <w:szCs w:val="32"/>
        </w:rPr>
        <w:t xml:space="preserve">1-P50, </w:t>
      </w:r>
      <w:proofErr w:type="spellStart"/>
      <w:r w:rsidRPr="00366046">
        <w:rPr>
          <w:sz w:val="24"/>
          <w:szCs w:val="32"/>
        </w:rPr>
        <w:t>anneixn</w:t>
      </w:r>
      <w:proofErr w:type="spellEnd"/>
      <w:r w:rsidRPr="00366046">
        <w:rPr>
          <w:sz w:val="24"/>
          <w:szCs w:val="32"/>
        </w:rPr>
        <w:t xml:space="preserve"> a2, MAPK1, TAB1 </w:t>
      </w:r>
      <w:r>
        <w:rPr>
          <w:rFonts w:hint="eastAsia"/>
          <w:sz w:val="24"/>
          <w:szCs w:val="32"/>
        </w:rPr>
        <w:t xml:space="preserve">and HMGB1 are important inflammatory </w:t>
      </w:r>
      <w:r>
        <w:rPr>
          <w:rFonts w:hint="eastAsia"/>
          <w:sz w:val="24"/>
          <w:szCs w:val="32"/>
        </w:rPr>
        <w:lastRenderedPageBreak/>
        <w:t>regulators</w:t>
      </w:r>
      <w:r>
        <w:rPr>
          <w:sz w:val="24"/>
          <w:szCs w:val="32"/>
        </w:rPr>
        <w:t xml:space="preserve"> </w:t>
      </w:r>
      <w:r>
        <w:rPr>
          <w:sz w:val="24"/>
          <w:szCs w:val="32"/>
        </w:rPr>
        <w:fldChar w:fldCharType="begin"/>
      </w:r>
      <w:r w:rsidR="00C07748">
        <w:rPr>
          <w:sz w:val="24"/>
          <w:szCs w:val="32"/>
        </w:rPr>
        <w:instrText xml:space="preserve"> ADDIN ZOTERO_ITEM CSL_CITATION {"citationID":"czh4QZev","properties":{"formattedCitation":"[4]","plainCitation":"[4]","noteIndex":0},"citationItems":[{"id":1061,"uris":["http://zotero.org/users/local/Y4BG4jIg/items/KEPMZ2VL"],"itemData":{"id":1061,"type":"article-journal","abstract":"Protein ubiquitination plays an important role in the regulation of TGF-β-activated kinase 1 (TAK1)-mediated NF-κB activation. It is well established that TAK1 activation is tightly regulated with its binding partners, TAK1-binding proteins (TAB1-3). However, the tight regulation of TAK1 activation remains elusive. Here, using Trim26-knockout mice and Trim26-transgenic mice, we found that TRIM26 acts as a positive regulator of TAK1 activation by ubiquitinating its binding partner TAB1. Knockout of Trim26 inhibited TAK1 activation and downstream kinases activation, thus decreasing the induction of proinflammatory cytokines following LPS, TNF-α, and IL-1β stimulation. Mechanistically, TRIM26 catalyzes the K11-linked polyubiquitination of TAB1 at Lys294, Lys319, and Lys335 to enhance the activation of TAK1 and subsequent NF-κB and MAPK signaling. Consequently, Trim26 deficiency protects mice from LPS-induced septic shock in vivo. Moreover, Trim26 deficiency attenuates the severity of dextran sodium sulfate (DSS)-induced colitis. Thus, these finding provides a novel insight into how TAK1 activation is regulated through TRIM26-mediated ubiquitination of TAB1 and reveals the new function of TRIM26 in the regulation of the inflammatory innate immune response.","container-title":"Cell Death and Differentiation","DOI":"10.1038/s41418-021-00803-1","ISSN":"1476-5403","issue":"11","journalAbbreviation":"Cell Death Differ","language":"eng","note":"PMID: 34017102\nPMCID: PMC8563735","page":"3077-3091","source":"PubMed","title":"TRIM26 positively regulates the inflammatory immune response through K11-linked ubiquitination of TAB1","volume":"28","author":[{"family":"Zhao","given":"Jian"},{"family":"Cai","given":"Baoshan"},{"family":"Shao","given":"Zhugui"},{"family":"Zhang","given":"Lei"},{"family":"Zheng","given":"Yi"},{"family":"Ma","given":"Chunhong"},{"family":"Yi","given":"Fan"},{"family":"Liu","given":"Bingyu"},{"family":"Gao","given":"Chengjiang"}],"issued":{"date-parts":[["2021",11]]}}}],"schema":"https://github.com/citation-style-language/schema/raw/master/csl-citation.json"} </w:instrText>
      </w:r>
      <w:r>
        <w:rPr>
          <w:sz w:val="24"/>
          <w:szCs w:val="32"/>
        </w:rPr>
        <w:fldChar w:fldCharType="separate"/>
      </w:r>
      <w:r w:rsidR="00C07748" w:rsidRPr="00C07748">
        <w:rPr>
          <w:rFonts w:cs="Calibri"/>
          <w:sz w:val="24"/>
        </w:rPr>
        <w:t>[4]</w:t>
      </w:r>
      <w:r>
        <w:rPr>
          <w:sz w:val="24"/>
          <w:szCs w:val="32"/>
        </w:rPr>
        <w:fldChar w:fldCharType="end"/>
      </w:r>
      <w:r>
        <w:rPr>
          <w:sz w:val="24"/>
          <w:szCs w:val="32"/>
        </w:rPr>
        <w:t xml:space="preserve"> </w:t>
      </w:r>
      <w:r>
        <w:rPr>
          <w:sz w:val="24"/>
          <w:szCs w:val="32"/>
        </w:rPr>
        <w:fldChar w:fldCharType="begin"/>
      </w:r>
      <w:r w:rsidR="00C07748">
        <w:rPr>
          <w:sz w:val="24"/>
          <w:szCs w:val="32"/>
        </w:rPr>
        <w:instrText xml:space="preserve"> ADDIN ZOTERO_ITEM CSL_CITATION {"citationID":"0roEEhfy","properties":{"formattedCitation":"[5]","plainCitation":"[5]","noteIndex":0},"citationItems":[{"id":1058,"uris":["http://zotero.org/users/local/Y4BG4jIg/items/9QSSA3HI"],"itemData":{"id":1058,"type":"article-journal","abstract":"Mitogen-activated protein (MAP) kinases comprise a family of ubiquitous proline-directed, protein-serine/threonine kinases, which participate in signal transduction pathways that control intracellular events including acute responses to hormones and major developmental changes in organisms. MAP kinases lie in protein kinase cascades. This review discusses the regulation and functions of mammalian MAP kinases. Nonenzymatic mechanisms that impact MAP kinase functions and findings from gene disruption studies are highlighted. Particular emphasis is on ERK1/2.","container-title":"Endocrine Reviews","DOI":"10.1210/edrv.22.2.0428","ISSN":"0163-769X","issue":"2","journalAbbreviation":"Endocr Rev","language":"eng","note":"PMID: 11294822","page":"153-183","source":"PubMed","title":"Mitogen-activated protein (MAP) kinase pathways: regulation and physiological functions","title-short":"Mitogen-activated protein (MAP) kinase pathways","volume":"22","author":[{"family":"Pearson","given":"G."},{"family":"Robinson","given":"F."},{"family":"Beers Gibson","given":"T."},{"family":"Xu","given":"B. E."},{"family":"Karandikar","given":"M."},{"family":"Berman","given":"K."},{"family":"Cobb","given":"M. H."}],"issued":{"date-parts":[["2001",4]]}}}],"schema":"https://github.com/citation-style-language/schema/raw/master/csl-citation.json"} </w:instrText>
      </w:r>
      <w:r>
        <w:rPr>
          <w:sz w:val="24"/>
          <w:szCs w:val="32"/>
        </w:rPr>
        <w:fldChar w:fldCharType="separate"/>
      </w:r>
      <w:r w:rsidR="00C07748" w:rsidRPr="00C07748">
        <w:rPr>
          <w:rFonts w:cs="Calibri"/>
          <w:sz w:val="24"/>
        </w:rPr>
        <w:t>[5]</w:t>
      </w:r>
      <w:r>
        <w:rPr>
          <w:sz w:val="24"/>
          <w:szCs w:val="32"/>
        </w:rPr>
        <w:fldChar w:fldCharType="end"/>
      </w:r>
      <w:r>
        <w:rPr>
          <w:sz w:val="24"/>
          <w:szCs w:val="32"/>
        </w:rPr>
        <w:t xml:space="preserve"> </w:t>
      </w:r>
      <w:r>
        <w:rPr>
          <w:sz w:val="24"/>
          <w:szCs w:val="32"/>
        </w:rPr>
        <w:fldChar w:fldCharType="begin"/>
      </w:r>
      <w:r w:rsidR="00C07748">
        <w:rPr>
          <w:sz w:val="24"/>
          <w:szCs w:val="32"/>
        </w:rPr>
        <w:instrText xml:space="preserve"> ADDIN ZOTERO_ITEM CSL_CITATION {"citationID":"WShS7kF8","properties":{"formattedCitation":"[6]","plainCitation":"[6]","noteIndex":0},"citationItems":[{"id":1063,"uris":["http://zotero.org/users/local/Y4BG4jIg/items/8L4RDFE2"],"itemData":{"id":1063,"type":"article-journal","abstract":"HMGB1 is a non-histone nuclear protein that can serve as an alarmin to drive the pathogenesis of inflammatory and autoimmune disease. Although primarily located in the cell nucleus, HMGB1 can translocate to the cytoplasm, as well as the extracellular space, during cell activation and cell death; during activation, HMGB1 can undergo post-translational modifications. The activity of HMGB1 varies with the redox states of the cysteine residues, which are required for binding to TLR4. In addition to stimulating cells directly, HMGB1 can form immunostimulatory complexes with cytokines and other endogenous and exogenous factors. In the synovia of patients with rheumatoid arthritis, as well as animal models of this disease, extranuclear expression of HMGB1 is increased and blockade of HMGB1 expression attenuates disease in animal models. In systemic lupus erythematosus, HMGB1 can be a component of immune complexes containing anti-DNA because of its interaction with DNA. In myositis, expression of HMGB1 is enhanced in inflamed muscle and can perturb muscle function. Together, these findings indicate that HMGB1 might be an important mediator and biomarker in rheumatic diseases as well as a target of new therapy.","container-title":"Nature Reviews. Rheumatology","DOI":"10.1038/nrrheum.2011.222","ISSN":"1759-4804","issue":"4","journalAbbreviation":"Nat Rev Rheumatol","language":"eng","note":"PMID: 22293756","page":"195-202","source":"PubMed","title":"HMGB1: a multifunctional alarmin driving autoimmune and inflammatory disease","title-short":"HMGB1","volume":"8","author":[{"family":"Harris","given":"Helena Erlandsson"},{"family":"Andersson","given":"Ulf"},{"family":"Pisetsky","given":"David S."}],"issued":{"date-parts":[["2012",1,31]]}}}],"schema":"https://github.com/citation-style-language/schema/raw/master/csl-citation.json"} </w:instrText>
      </w:r>
      <w:r>
        <w:rPr>
          <w:sz w:val="24"/>
          <w:szCs w:val="32"/>
        </w:rPr>
        <w:fldChar w:fldCharType="separate"/>
      </w:r>
      <w:r w:rsidR="00C07748" w:rsidRPr="00C07748">
        <w:rPr>
          <w:rFonts w:cs="Calibri"/>
          <w:sz w:val="24"/>
        </w:rPr>
        <w:t>[6]</w:t>
      </w:r>
      <w:r>
        <w:rPr>
          <w:sz w:val="24"/>
          <w:szCs w:val="32"/>
        </w:rPr>
        <w:fldChar w:fldCharType="end"/>
      </w:r>
      <w:r>
        <w:rPr>
          <w:sz w:val="24"/>
          <w:szCs w:val="32"/>
        </w:rPr>
        <w:t xml:space="preserve"> </w:t>
      </w:r>
      <w:r>
        <w:rPr>
          <w:sz w:val="24"/>
          <w:szCs w:val="32"/>
        </w:rPr>
        <w:fldChar w:fldCharType="begin"/>
      </w:r>
      <w:r w:rsidR="00C07748">
        <w:rPr>
          <w:sz w:val="24"/>
          <w:szCs w:val="32"/>
        </w:rPr>
        <w:instrText xml:space="preserve"> ADDIN ZOTERO_ITEM CSL_CITATION {"citationID":"ua9ZNdV1","properties":{"formattedCitation":"[7]","plainCitation":"[7]","noteIndex":0},"citationItems":[{"id":1065,"uris":["http://zotero.org/users/local/Y4BG4jIg/items/NYY9Y448"],"itemData":{"id":1065,"type":"article-journal","abstract":"Annexin A2 (AnxA2) is a multifunctional calcium2+ (Ca2+) and phospholipid-binding protein that is expressed in a wide spectrum of cells, including those participating in the inflammatory response. In acute inflammation, the interaction of AnxA2 with actin and adherens junction VE-cadherins underlies its role in regulating vascular integrity. In addition, its contribution to endosomal membrane repair impacts several aspects of inflammatory regulation, including lysosome repair, which regulates inflammasome activation, and autophagosome biogenesis, which is essential for macroautophagy. On the other hand, AnxA2 may be co-opted to promote adhesion, entry, and propagation of bacteria or viruses into host cells. In the later stages of acute inflammation, AnxA2 contributes to the initiation of angiogenesis, which promotes tissue repair, but, when dysregulated, may also accompany chronic inflammation. AnxA2 is overexpressed in malignancies, such as breast cancer and glioblastoma, and likely contributes to cancer progression in the context of an inflammatory microenvironment. We conclude that annexin AnxA2 normally fulfills a spectrum of anti-inflammatory functions in the setting of both acute and chronic inflammation but may contribute to disease states in settings of disordered homeostasis.","container-title":"Cells","DOI":"10.3390/cells9061499","ISSN":"2073-4409","issue":"6","journalAbbreviation":"Cells","language":"eng","note":"PMID: 32575495\nPMCID: PMC7348701","page":"E1499","source":"PubMed","title":"Annexin A2 in Inflammation and Host Defense","volume":"9","author":[{"family":"Dallacasagrande","given":"Valentina"},{"family":"Hajjar","given":"Katherine A."}],"issued":{"date-parts":[["2020",6,19]]}}}],"schema":"https://github.com/citation-style-language/schema/raw/master/csl-citation.json"} </w:instrText>
      </w:r>
      <w:r>
        <w:rPr>
          <w:sz w:val="24"/>
          <w:szCs w:val="32"/>
        </w:rPr>
        <w:fldChar w:fldCharType="separate"/>
      </w:r>
      <w:r w:rsidR="00C07748" w:rsidRPr="00C07748">
        <w:rPr>
          <w:rFonts w:cs="Calibri"/>
          <w:sz w:val="24"/>
        </w:rPr>
        <w:t>[7]</w:t>
      </w:r>
      <w:r>
        <w:rPr>
          <w:sz w:val="24"/>
          <w:szCs w:val="32"/>
        </w:rPr>
        <w:fldChar w:fldCharType="end"/>
      </w:r>
      <w:r>
        <w:rPr>
          <w:sz w:val="24"/>
          <w:szCs w:val="32"/>
        </w:rPr>
        <w:t>.</w:t>
      </w:r>
    </w:p>
    <w:p w14:paraId="6CFDEBD7" w14:textId="248F7773" w:rsidR="00E81DAB" w:rsidRPr="00E81DAB" w:rsidRDefault="00E81DAB" w:rsidP="00E81DAB">
      <w:pPr>
        <w:widowControl/>
        <w:spacing w:line="480" w:lineRule="auto"/>
        <w:jc w:val="left"/>
        <w:rPr>
          <w:b/>
          <w:bCs/>
          <w:sz w:val="24"/>
          <w:szCs w:val="32"/>
        </w:rPr>
      </w:pPr>
      <w:r w:rsidRPr="00E81DAB">
        <w:rPr>
          <w:rFonts w:hint="eastAsia"/>
          <w:b/>
          <w:bCs/>
          <w:sz w:val="24"/>
          <w:szCs w:val="32"/>
        </w:rPr>
        <w:t xml:space="preserve">Chip </w:t>
      </w:r>
      <w:r w:rsidRPr="00E81DAB">
        <w:rPr>
          <w:b/>
          <w:bCs/>
          <w:sz w:val="24"/>
          <w:szCs w:val="32"/>
        </w:rPr>
        <w:t>p</w:t>
      </w:r>
      <w:r w:rsidRPr="00E81DAB">
        <w:rPr>
          <w:rFonts w:hint="eastAsia"/>
          <w:b/>
          <w:bCs/>
          <w:sz w:val="24"/>
          <w:szCs w:val="32"/>
        </w:rPr>
        <w:t>reparation</w:t>
      </w:r>
    </w:p>
    <w:p w14:paraId="644D8061" w14:textId="5620E477" w:rsidR="00E81DAB" w:rsidRDefault="00E81DAB" w:rsidP="00E81DAB">
      <w:pPr>
        <w:spacing w:line="480" w:lineRule="auto"/>
        <w:rPr>
          <w:sz w:val="24"/>
          <w:szCs w:val="32"/>
        </w:rPr>
      </w:pPr>
      <w:r>
        <w:rPr>
          <w:rFonts w:hint="eastAsia"/>
          <w:sz w:val="24"/>
          <w:szCs w:val="32"/>
        </w:rPr>
        <w:t>Protein Thermal Shift Assay was used PCR based automated method with Special Dye from Applied biosystems (California,</w:t>
      </w:r>
      <w:r>
        <w:rPr>
          <w:sz w:val="24"/>
          <w:szCs w:val="32"/>
        </w:rPr>
        <w:t> USA</w:t>
      </w:r>
      <w:r>
        <w:rPr>
          <w:rFonts w:hint="eastAsia"/>
          <w:sz w:val="24"/>
          <w:szCs w:val="32"/>
        </w:rPr>
        <w:t>). Taking N</w:t>
      </w:r>
      <w:r>
        <w:rPr>
          <w:sz w:val="24"/>
          <w:szCs w:val="32"/>
        </w:rPr>
        <w:t>Fκ</w:t>
      </w:r>
      <w:r>
        <w:rPr>
          <w:rFonts w:hint="eastAsia"/>
          <w:sz w:val="24"/>
          <w:szCs w:val="32"/>
        </w:rPr>
        <w:t>B</w:t>
      </w:r>
      <w:r>
        <w:rPr>
          <w:sz w:val="24"/>
          <w:szCs w:val="32"/>
        </w:rPr>
        <w:t>1-</w:t>
      </w:r>
      <w:r>
        <w:rPr>
          <w:rFonts w:hint="eastAsia"/>
          <w:sz w:val="24"/>
          <w:szCs w:val="32"/>
        </w:rPr>
        <w:t>P50</w:t>
      </w:r>
      <w:r>
        <w:rPr>
          <w:sz w:val="24"/>
          <w:szCs w:val="32"/>
        </w:rPr>
        <w:t xml:space="preserve"> </w:t>
      </w:r>
      <w:r>
        <w:rPr>
          <w:rFonts w:hint="eastAsia"/>
          <w:sz w:val="24"/>
          <w:szCs w:val="32"/>
        </w:rPr>
        <w:t xml:space="preserve">protein as an example, we </w:t>
      </w:r>
      <w:proofErr w:type="spellStart"/>
      <w:r>
        <w:rPr>
          <w:rFonts w:hint="eastAsia"/>
          <w:sz w:val="24"/>
          <w:szCs w:val="32"/>
        </w:rPr>
        <w:t>analyzed</w:t>
      </w:r>
      <w:proofErr w:type="spellEnd"/>
      <w:r>
        <w:rPr>
          <w:rFonts w:hint="eastAsia"/>
          <w:sz w:val="24"/>
          <w:szCs w:val="32"/>
        </w:rPr>
        <w:t xml:space="preserve"> the protein concentration range for detection, and used it as a reference concentration to test other proteins.</w:t>
      </w:r>
      <w:r>
        <w:rPr>
          <w:sz w:val="24"/>
          <w:szCs w:val="32"/>
        </w:rPr>
        <w:t xml:space="preserve"> </w:t>
      </w:r>
      <w:r>
        <w:rPr>
          <w:rFonts w:hint="eastAsia"/>
          <w:sz w:val="24"/>
          <w:szCs w:val="32"/>
        </w:rPr>
        <w:t>Finally, we determined that the mass of reactive protein per well was 0.</w:t>
      </w:r>
      <w:r>
        <w:rPr>
          <w:sz w:val="24"/>
          <w:szCs w:val="32"/>
        </w:rPr>
        <w:t xml:space="preserve">045 </w:t>
      </w:r>
      <w:proofErr w:type="spellStart"/>
      <w:r>
        <w:rPr>
          <w:rFonts w:cs="Calibri"/>
          <w:sz w:val="24"/>
          <w:szCs w:val="32"/>
        </w:rPr>
        <w:t>μ</w:t>
      </w:r>
      <w:r>
        <w:rPr>
          <w:rFonts w:hint="eastAsia"/>
          <w:sz w:val="24"/>
          <w:szCs w:val="32"/>
        </w:rPr>
        <w:t>g</w:t>
      </w:r>
      <w:proofErr w:type="spellEnd"/>
      <w:r>
        <w:rPr>
          <w:sz w:val="24"/>
          <w:szCs w:val="32"/>
        </w:rPr>
        <w:t>/</w:t>
      </w:r>
      <w:proofErr w:type="spellStart"/>
      <w:r>
        <w:rPr>
          <w:rFonts w:cs="Calibri"/>
          <w:sz w:val="24"/>
          <w:szCs w:val="32"/>
        </w:rPr>
        <w:t>μ</w:t>
      </w:r>
      <w:r>
        <w:rPr>
          <w:rFonts w:cs="Calibri" w:hint="eastAsia"/>
          <w:sz w:val="24"/>
          <w:szCs w:val="32"/>
        </w:rPr>
        <w:t>L</w:t>
      </w:r>
      <w:proofErr w:type="spellEnd"/>
      <w:r>
        <w:rPr>
          <w:rFonts w:hint="eastAsia"/>
          <w:sz w:val="24"/>
          <w:szCs w:val="32"/>
        </w:rPr>
        <w:t xml:space="preserve"> reaction solution.</w:t>
      </w:r>
      <w:r w:rsidRPr="007C0791">
        <w:t xml:space="preserve"> </w:t>
      </w:r>
      <w:r w:rsidRPr="007C0791">
        <w:rPr>
          <w:sz w:val="24"/>
          <w:szCs w:val="32"/>
        </w:rPr>
        <w:t>PBS buffer (pH=7.4, 0.01 M</w:t>
      </w:r>
      <w:r>
        <w:rPr>
          <w:sz w:val="24"/>
          <w:szCs w:val="32"/>
        </w:rPr>
        <w:t xml:space="preserve"> </w:t>
      </w:r>
      <w:r w:rsidRPr="007C0791">
        <w:rPr>
          <w:sz w:val="24"/>
          <w:szCs w:val="32"/>
        </w:rPr>
        <w:t xml:space="preserve">phosphate buffer, 0.0027 M </w:t>
      </w:r>
      <w:proofErr w:type="spellStart"/>
      <w:r w:rsidRPr="007C0791">
        <w:rPr>
          <w:sz w:val="24"/>
          <w:szCs w:val="32"/>
        </w:rPr>
        <w:t>KCl</w:t>
      </w:r>
      <w:proofErr w:type="spellEnd"/>
      <w:r w:rsidRPr="007C0791">
        <w:rPr>
          <w:sz w:val="24"/>
          <w:szCs w:val="32"/>
        </w:rPr>
        <w:t xml:space="preserve"> and 0.137</w:t>
      </w:r>
      <w:r>
        <w:rPr>
          <w:sz w:val="24"/>
          <w:szCs w:val="32"/>
        </w:rPr>
        <w:t xml:space="preserve"> </w:t>
      </w:r>
      <w:r w:rsidRPr="007C0791">
        <w:rPr>
          <w:sz w:val="24"/>
          <w:szCs w:val="32"/>
        </w:rPr>
        <w:t>M NaCl), PBS buffer with disaccharide (1% trehalose, trying to increase protein stability by adding disaccharide), PBS buffer with 1% trehalose and 0.1% bacteriostatic agent (5-chloro-2-methyl-4-isothiazolin-3-one2-methyl-4-isothiazloin-3-one, 3:1), and PBS buffer with 0.02% NaN</w:t>
      </w:r>
      <w:r w:rsidRPr="007C0791">
        <w:rPr>
          <w:sz w:val="24"/>
          <w:szCs w:val="32"/>
          <w:vertAlign w:val="subscript"/>
        </w:rPr>
        <w:t>3</w:t>
      </w:r>
      <w:r>
        <w:rPr>
          <w:sz w:val="24"/>
          <w:szCs w:val="32"/>
        </w:rPr>
        <w:t xml:space="preserve"> was tested as </w:t>
      </w:r>
      <w:r w:rsidRPr="008F397A">
        <w:rPr>
          <w:sz w:val="24"/>
          <w:szCs w:val="32"/>
        </w:rPr>
        <w:t>reaction buffer</w:t>
      </w:r>
      <w:r>
        <w:rPr>
          <w:sz w:val="24"/>
          <w:szCs w:val="32"/>
        </w:rPr>
        <w:t>, with</w:t>
      </w:r>
      <w:r w:rsidRPr="008F397A">
        <w:rPr>
          <w:sz w:val="24"/>
          <w:szCs w:val="32"/>
        </w:rPr>
        <w:t xml:space="preserve"> 3</w:t>
      </w:r>
      <w:r>
        <w:rPr>
          <w:sz w:val="24"/>
          <w:szCs w:val="32"/>
        </w:rPr>
        <w:t>CL</w:t>
      </w:r>
      <w:r w:rsidRPr="008F397A">
        <w:rPr>
          <w:sz w:val="24"/>
          <w:szCs w:val="32"/>
        </w:rPr>
        <w:t xml:space="preserve">pro protein </w:t>
      </w:r>
      <w:r>
        <w:rPr>
          <w:sz w:val="24"/>
          <w:szCs w:val="32"/>
        </w:rPr>
        <w:t>(0.15</w:t>
      </w:r>
      <w:r w:rsidRPr="008F397A">
        <w:rPr>
          <w:rFonts w:hint="eastAsia"/>
          <w:sz w:val="24"/>
          <w:szCs w:val="32"/>
        </w:rPr>
        <w:t>μ</w:t>
      </w:r>
      <w:r w:rsidRPr="008F397A">
        <w:rPr>
          <w:sz w:val="24"/>
          <w:szCs w:val="32"/>
        </w:rPr>
        <w:t>g/</w:t>
      </w:r>
      <w:proofErr w:type="spellStart"/>
      <w:r w:rsidRPr="008F397A">
        <w:rPr>
          <w:sz w:val="24"/>
          <w:szCs w:val="32"/>
        </w:rPr>
        <w:t>μL</w:t>
      </w:r>
      <w:proofErr w:type="spellEnd"/>
      <w:r>
        <w:rPr>
          <w:sz w:val="24"/>
          <w:szCs w:val="32"/>
        </w:rPr>
        <w:t xml:space="preserve"> ).</w:t>
      </w:r>
      <w:r>
        <w:rPr>
          <w:rFonts w:hint="eastAsia"/>
          <w:sz w:val="24"/>
          <w:szCs w:val="32"/>
        </w:rPr>
        <w:t xml:space="preserve"> </w:t>
      </w:r>
      <w:r>
        <w:rPr>
          <w:sz w:val="24"/>
          <w:szCs w:val="32"/>
        </w:rPr>
        <w:t>The u</w:t>
      </w:r>
      <w:r>
        <w:rPr>
          <w:rFonts w:hint="eastAsia"/>
          <w:sz w:val="24"/>
          <w:szCs w:val="32"/>
        </w:rPr>
        <w:t>niversal PCR 96 well plate (</w:t>
      </w:r>
      <w:proofErr w:type="spellStart"/>
      <w:r>
        <w:rPr>
          <w:rFonts w:hint="eastAsia"/>
          <w:sz w:val="24"/>
          <w:szCs w:val="32"/>
        </w:rPr>
        <w:t>Cellpro</w:t>
      </w:r>
      <w:proofErr w:type="spellEnd"/>
      <w:r>
        <w:rPr>
          <w:rFonts w:hint="eastAsia"/>
          <w:sz w:val="24"/>
          <w:szCs w:val="32"/>
        </w:rPr>
        <w:t xml:space="preserve">, Suzhou City, China) was used as </w:t>
      </w:r>
      <w:r>
        <w:rPr>
          <w:sz w:val="24"/>
          <w:szCs w:val="32"/>
        </w:rPr>
        <w:t xml:space="preserve">the </w:t>
      </w:r>
      <w:r>
        <w:rPr>
          <w:rFonts w:hint="eastAsia"/>
          <w:sz w:val="24"/>
          <w:szCs w:val="32"/>
        </w:rPr>
        <w:t xml:space="preserve">substrate, </w:t>
      </w:r>
      <w:r>
        <w:rPr>
          <w:sz w:val="24"/>
          <w:szCs w:val="32"/>
        </w:rPr>
        <w:t>which</w:t>
      </w:r>
      <w:r>
        <w:rPr>
          <w:rFonts w:hint="eastAsia"/>
          <w:sz w:val="24"/>
          <w:szCs w:val="32"/>
        </w:rPr>
        <w:t xml:space="preserve"> will greatly reduce the cost and increase the universality of the chip. Universal fluorescence quantitative PCR instrument (</w:t>
      </w:r>
      <w:proofErr w:type="spellStart"/>
      <w:r>
        <w:rPr>
          <w:rFonts w:hint="eastAsia"/>
          <w:sz w:val="24"/>
          <w:szCs w:val="32"/>
        </w:rPr>
        <w:t>Rocgen</w:t>
      </w:r>
      <w:proofErr w:type="spellEnd"/>
      <w:r>
        <w:rPr>
          <w:rFonts w:hint="eastAsia"/>
          <w:sz w:val="24"/>
          <w:szCs w:val="32"/>
        </w:rPr>
        <w:t xml:space="preserve">, Beijing, China) </w:t>
      </w:r>
      <w:r w:rsidR="002D205A">
        <w:rPr>
          <w:rFonts w:hint="eastAsia"/>
          <w:sz w:val="24"/>
          <w:szCs w:val="32"/>
        </w:rPr>
        <w:t>with</w:t>
      </w:r>
      <w:r w:rsidR="002D205A">
        <w:rPr>
          <w:sz w:val="24"/>
          <w:szCs w:val="32"/>
        </w:rPr>
        <w:t xml:space="preserve"> 20 </w:t>
      </w:r>
      <w:r w:rsidR="002D205A">
        <w:rPr>
          <w:rFonts w:hint="eastAsia"/>
          <w:sz w:val="24"/>
          <w:szCs w:val="32"/>
        </w:rPr>
        <w:t>μ</w:t>
      </w:r>
      <w:r w:rsidR="002D205A">
        <w:rPr>
          <w:rFonts w:hint="eastAsia"/>
          <w:sz w:val="24"/>
          <w:szCs w:val="32"/>
        </w:rPr>
        <w:t>L</w:t>
      </w:r>
      <w:r w:rsidR="002D205A">
        <w:rPr>
          <w:sz w:val="24"/>
          <w:szCs w:val="32"/>
        </w:rPr>
        <w:t xml:space="preserve"> </w:t>
      </w:r>
      <w:r w:rsidR="002D205A">
        <w:rPr>
          <w:rFonts w:hint="eastAsia"/>
          <w:sz w:val="24"/>
          <w:szCs w:val="32"/>
        </w:rPr>
        <w:t>volume</w:t>
      </w:r>
      <w:r w:rsidR="002D205A">
        <w:rPr>
          <w:sz w:val="24"/>
          <w:szCs w:val="32"/>
        </w:rPr>
        <w:t xml:space="preserve"> </w:t>
      </w:r>
      <w:r>
        <w:rPr>
          <w:rFonts w:hint="eastAsia"/>
          <w:sz w:val="24"/>
          <w:szCs w:val="32"/>
        </w:rPr>
        <w:t xml:space="preserve">was used in this method, select fluorophore reporter as ROX or VIC, none quencher, and the thermal profile </w:t>
      </w:r>
      <w:r w:rsidR="002D205A">
        <w:rPr>
          <w:sz w:val="24"/>
          <w:szCs w:val="32"/>
        </w:rPr>
        <w:t>25</w:t>
      </w:r>
      <w:r>
        <w:rPr>
          <w:sz w:val="24"/>
          <w:szCs w:val="32"/>
        </w:rPr>
        <w:t xml:space="preserve"> </w:t>
      </w:r>
      <w:r>
        <w:rPr>
          <w:rFonts w:ascii="Cambria Math" w:hAnsi="Cambria Math" w:cs="Cambria Math"/>
          <w:sz w:val="24"/>
          <w:szCs w:val="32"/>
        </w:rPr>
        <w:t>℃</w:t>
      </w:r>
      <w:r>
        <w:rPr>
          <w:rFonts w:hint="eastAsia"/>
          <w:sz w:val="24"/>
          <w:szCs w:val="32"/>
        </w:rPr>
        <w:t>-</w:t>
      </w:r>
      <w:r>
        <w:rPr>
          <w:sz w:val="24"/>
          <w:szCs w:val="32"/>
        </w:rPr>
        <w:t xml:space="preserve"> </w:t>
      </w:r>
      <w:r>
        <w:rPr>
          <w:rFonts w:hint="eastAsia"/>
          <w:sz w:val="24"/>
          <w:szCs w:val="32"/>
        </w:rPr>
        <w:t>9</w:t>
      </w:r>
      <w:r w:rsidR="002D205A">
        <w:rPr>
          <w:sz w:val="24"/>
          <w:szCs w:val="32"/>
        </w:rPr>
        <w:t>5</w:t>
      </w:r>
      <w:r>
        <w:rPr>
          <w:sz w:val="24"/>
          <w:szCs w:val="32"/>
        </w:rPr>
        <w:t xml:space="preserve"> </w:t>
      </w:r>
      <w:r>
        <w:rPr>
          <w:rFonts w:ascii="Cambria Math" w:hAnsi="Cambria Math" w:cs="Cambria Math"/>
          <w:sz w:val="24"/>
          <w:szCs w:val="32"/>
        </w:rPr>
        <w:t>℃</w:t>
      </w:r>
      <w:r>
        <w:rPr>
          <w:rFonts w:hint="eastAsia"/>
          <w:sz w:val="24"/>
          <w:szCs w:val="32"/>
        </w:rPr>
        <w:t xml:space="preserve">, ramp rate: 0.1 </w:t>
      </w:r>
      <w:r>
        <w:rPr>
          <w:rFonts w:ascii="Cambria Math" w:hAnsi="Cambria Math" w:cs="Cambria Math"/>
          <w:sz w:val="24"/>
          <w:szCs w:val="32"/>
        </w:rPr>
        <w:t>℃</w:t>
      </w:r>
      <w:r>
        <w:rPr>
          <w:sz w:val="24"/>
          <w:szCs w:val="32"/>
        </w:rPr>
        <w:t>/</w:t>
      </w:r>
      <w:r>
        <w:rPr>
          <w:rFonts w:hint="eastAsia"/>
          <w:sz w:val="24"/>
          <w:szCs w:val="32"/>
        </w:rPr>
        <w:t>S, ramp mode:</w:t>
      </w:r>
      <w:r>
        <w:rPr>
          <w:sz w:val="24"/>
          <w:szCs w:val="32"/>
        </w:rPr>
        <w:t xml:space="preserve"> </w:t>
      </w:r>
      <w:r>
        <w:rPr>
          <w:rFonts w:hint="eastAsia"/>
          <w:sz w:val="24"/>
          <w:szCs w:val="32"/>
        </w:rPr>
        <w:t xml:space="preserve">continuous. </w:t>
      </w:r>
    </w:p>
    <w:p w14:paraId="0C42EB06" w14:textId="14192AE6" w:rsidR="00E81DAB" w:rsidRPr="00E81DAB" w:rsidRDefault="00E81DAB" w:rsidP="00E81DAB">
      <w:pPr>
        <w:widowControl/>
        <w:spacing w:line="480" w:lineRule="auto"/>
        <w:jc w:val="left"/>
        <w:rPr>
          <w:b/>
          <w:bCs/>
          <w:sz w:val="24"/>
          <w:szCs w:val="32"/>
        </w:rPr>
      </w:pPr>
      <w:r w:rsidRPr="00E81DAB">
        <w:rPr>
          <w:rFonts w:hint="eastAsia"/>
          <w:b/>
          <w:bCs/>
          <w:sz w:val="24"/>
          <w:szCs w:val="32"/>
        </w:rPr>
        <w:t xml:space="preserve">Chip </w:t>
      </w:r>
      <w:r w:rsidRPr="00E81DAB">
        <w:rPr>
          <w:b/>
          <w:bCs/>
          <w:sz w:val="24"/>
          <w:szCs w:val="32"/>
        </w:rPr>
        <w:t>a</w:t>
      </w:r>
      <w:r w:rsidRPr="00E81DAB">
        <w:rPr>
          <w:rFonts w:hint="eastAsia"/>
          <w:b/>
          <w:bCs/>
          <w:sz w:val="24"/>
          <w:szCs w:val="32"/>
        </w:rPr>
        <w:t>pplication test</w:t>
      </w:r>
    </w:p>
    <w:p w14:paraId="7E3EFA3A" w14:textId="77777777" w:rsidR="00E81DAB" w:rsidRPr="0099479A" w:rsidRDefault="00E81DAB" w:rsidP="00E81DAB">
      <w:pPr>
        <w:spacing w:line="480" w:lineRule="auto"/>
        <w:ind w:firstLineChars="150" w:firstLine="360"/>
        <w:rPr>
          <w:sz w:val="24"/>
          <w:szCs w:val="32"/>
        </w:rPr>
      </w:pPr>
      <w:r>
        <w:rPr>
          <w:rFonts w:hint="eastAsia"/>
          <w:sz w:val="24"/>
          <w:szCs w:val="32"/>
        </w:rPr>
        <w:t>We used targeted small molecules and macromolecular drugs to test the application of the chip.</w:t>
      </w:r>
      <w:r>
        <w:rPr>
          <w:sz w:val="24"/>
          <w:szCs w:val="32"/>
        </w:rPr>
        <w:t xml:space="preserve"> </w:t>
      </w:r>
      <w:r>
        <w:rPr>
          <w:rFonts w:hint="eastAsia"/>
          <w:sz w:val="24"/>
          <w:szCs w:val="32"/>
        </w:rPr>
        <w:t xml:space="preserve">Chlorogenic acid (20 </w:t>
      </w:r>
      <w:proofErr w:type="spellStart"/>
      <w:r>
        <w:rPr>
          <w:rFonts w:cs="Calibri"/>
          <w:sz w:val="24"/>
          <w:szCs w:val="32"/>
        </w:rPr>
        <w:t>μ</w:t>
      </w:r>
      <w:r>
        <w:rPr>
          <w:rFonts w:hint="eastAsia"/>
          <w:sz w:val="24"/>
          <w:szCs w:val="32"/>
        </w:rPr>
        <w:t>M</w:t>
      </w:r>
      <w:proofErr w:type="spellEnd"/>
      <w:r>
        <w:rPr>
          <w:rFonts w:hint="eastAsia"/>
          <w:sz w:val="24"/>
          <w:szCs w:val="32"/>
        </w:rPr>
        <w:t>) (</w:t>
      </w:r>
      <w:proofErr w:type="spellStart"/>
      <w:r>
        <w:rPr>
          <w:rFonts w:hint="eastAsia"/>
          <w:sz w:val="24"/>
          <w:szCs w:val="32"/>
        </w:rPr>
        <w:t>ChemFaces</w:t>
      </w:r>
      <w:proofErr w:type="spellEnd"/>
      <w:r>
        <w:rPr>
          <w:rFonts w:hint="eastAsia"/>
          <w:sz w:val="24"/>
          <w:szCs w:val="32"/>
        </w:rPr>
        <w:t>, Wuhan, China) as known annexin a2 binding molecule was selected as a representative of active natural products to verify the function of the chip. The antibody against N protein (1</w:t>
      </w:r>
      <w:r>
        <w:rPr>
          <w:sz w:val="24"/>
          <w:szCs w:val="32"/>
        </w:rPr>
        <w:t xml:space="preserve"> </w:t>
      </w:r>
      <w:proofErr w:type="spellStart"/>
      <w:r>
        <w:rPr>
          <w:rFonts w:cs="Calibri"/>
          <w:sz w:val="24"/>
          <w:szCs w:val="32"/>
        </w:rPr>
        <w:t>μ</w:t>
      </w:r>
      <w:r>
        <w:rPr>
          <w:rFonts w:hint="eastAsia"/>
          <w:sz w:val="24"/>
          <w:szCs w:val="32"/>
        </w:rPr>
        <w:t>g</w:t>
      </w:r>
      <w:proofErr w:type="spellEnd"/>
      <w:r>
        <w:rPr>
          <w:sz w:val="24"/>
          <w:szCs w:val="32"/>
        </w:rPr>
        <w:t>/</w:t>
      </w:r>
      <w:r>
        <w:rPr>
          <w:rFonts w:hint="eastAsia"/>
          <w:sz w:val="24"/>
          <w:szCs w:val="32"/>
        </w:rPr>
        <w:t xml:space="preserve">well, </w:t>
      </w:r>
      <w:proofErr w:type="spellStart"/>
      <w:r>
        <w:rPr>
          <w:rFonts w:hint="eastAsia"/>
          <w:sz w:val="24"/>
          <w:szCs w:val="32"/>
        </w:rPr>
        <w:lastRenderedPageBreak/>
        <w:t>novoprotein</w:t>
      </w:r>
      <w:proofErr w:type="spellEnd"/>
      <w:r>
        <w:rPr>
          <w:rFonts w:hint="eastAsia"/>
          <w:sz w:val="24"/>
          <w:szCs w:val="32"/>
        </w:rPr>
        <w:t xml:space="preserve">, Shanghai, Beijing) of SARS-CoV-2 </w:t>
      </w:r>
      <w:r>
        <w:rPr>
          <w:sz w:val="24"/>
          <w:szCs w:val="32"/>
        </w:rPr>
        <w:t>wa</w:t>
      </w:r>
      <w:r>
        <w:rPr>
          <w:rFonts w:hint="eastAsia"/>
          <w:sz w:val="24"/>
          <w:szCs w:val="32"/>
        </w:rPr>
        <w:t>s used as a representative of macromolecular</w:t>
      </w:r>
      <w:r>
        <w:rPr>
          <w:sz w:val="24"/>
          <w:szCs w:val="32"/>
        </w:rPr>
        <w:t xml:space="preserve"> </w:t>
      </w:r>
      <w:r>
        <w:rPr>
          <w:rFonts w:hint="eastAsia"/>
          <w:sz w:val="24"/>
          <w:szCs w:val="32"/>
        </w:rPr>
        <w:t xml:space="preserve">to test the application of the chip in the macromolecular field. All experimental conditions </w:t>
      </w:r>
      <w:r>
        <w:rPr>
          <w:sz w:val="24"/>
          <w:szCs w:val="32"/>
        </w:rPr>
        <w:t>were</w:t>
      </w:r>
      <w:r>
        <w:rPr>
          <w:rFonts w:hint="eastAsia"/>
          <w:sz w:val="24"/>
          <w:szCs w:val="32"/>
        </w:rPr>
        <w:t xml:space="preserve"> consistent with those described in the above part. </w:t>
      </w:r>
    </w:p>
    <w:p w14:paraId="511273FD" w14:textId="52B20FE8" w:rsidR="00E81DAB" w:rsidRPr="00E81DAB" w:rsidRDefault="00E81DAB" w:rsidP="00E81DAB">
      <w:pPr>
        <w:widowControl/>
        <w:spacing w:line="480" w:lineRule="auto"/>
        <w:jc w:val="left"/>
        <w:rPr>
          <w:b/>
          <w:bCs/>
          <w:sz w:val="24"/>
          <w:szCs w:val="32"/>
        </w:rPr>
      </w:pPr>
      <w:r w:rsidRPr="00E81DAB">
        <w:rPr>
          <w:b/>
          <w:bCs/>
          <w:sz w:val="24"/>
          <w:szCs w:val="32"/>
        </w:rPr>
        <w:t>Extraction of plant components</w:t>
      </w:r>
    </w:p>
    <w:p w14:paraId="4BF8808F" w14:textId="77777777" w:rsidR="00E81DAB" w:rsidRDefault="00E81DAB" w:rsidP="00E81DAB">
      <w:pPr>
        <w:spacing w:line="480" w:lineRule="auto"/>
        <w:ind w:firstLineChars="100" w:firstLine="240"/>
        <w:rPr>
          <w:sz w:val="24"/>
          <w:szCs w:val="32"/>
        </w:rPr>
      </w:pPr>
      <w:r>
        <w:rPr>
          <w:sz w:val="24"/>
          <w:szCs w:val="32"/>
        </w:rPr>
        <w:t xml:space="preserve">The effective substances </w:t>
      </w:r>
      <w:r>
        <w:rPr>
          <w:rFonts w:hint="eastAsia"/>
          <w:sz w:val="24"/>
          <w:szCs w:val="32"/>
        </w:rPr>
        <w:t>of</w:t>
      </w:r>
      <w:r>
        <w:rPr>
          <w:sz w:val="24"/>
          <w:szCs w:val="32"/>
        </w:rPr>
        <w:t xml:space="preserve"> </w:t>
      </w:r>
      <w:proofErr w:type="spellStart"/>
      <w:r>
        <w:rPr>
          <w:i/>
          <w:iCs/>
          <w:sz w:val="24"/>
          <w:szCs w:val="32"/>
        </w:rPr>
        <w:t>Pinellia</w:t>
      </w:r>
      <w:proofErr w:type="spellEnd"/>
      <w:r>
        <w:rPr>
          <w:i/>
          <w:iCs/>
          <w:sz w:val="24"/>
          <w:szCs w:val="32"/>
        </w:rPr>
        <w:t xml:space="preserve"> Ternate</w:t>
      </w:r>
      <w:r>
        <w:rPr>
          <w:sz w:val="24"/>
          <w:szCs w:val="32"/>
        </w:rPr>
        <w:t xml:space="preserve"> were extracted by </w:t>
      </w:r>
      <w:r>
        <w:rPr>
          <w:rFonts w:hint="eastAsia"/>
          <w:sz w:val="24"/>
          <w:szCs w:val="32"/>
        </w:rPr>
        <w:t>H</w:t>
      </w:r>
      <w:r>
        <w:rPr>
          <w:sz w:val="24"/>
          <w:szCs w:val="32"/>
          <w:vertAlign w:val="subscript"/>
        </w:rPr>
        <w:t>2</w:t>
      </w:r>
      <w:r>
        <w:rPr>
          <w:rFonts w:hint="eastAsia"/>
          <w:sz w:val="24"/>
          <w:szCs w:val="32"/>
        </w:rPr>
        <w:t>O</w:t>
      </w:r>
      <w:r>
        <w:rPr>
          <w:sz w:val="24"/>
          <w:szCs w:val="32"/>
        </w:rPr>
        <w:t xml:space="preserve"> extraction </w:t>
      </w:r>
      <w:r>
        <w:rPr>
          <w:rFonts w:hint="eastAsia"/>
          <w:sz w:val="24"/>
          <w:szCs w:val="32"/>
        </w:rPr>
        <w:t>(0</w:t>
      </w:r>
      <w:r>
        <w:rPr>
          <w:sz w:val="24"/>
          <w:szCs w:val="32"/>
        </w:rPr>
        <w:t xml:space="preserve">.076 </w:t>
      </w:r>
      <w:r>
        <w:rPr>
          <w:rFonts w:hint="eastAsia"/>
          <w:sz w:val="24"/>
          <w:szCs w:val="32"/>
        </w:rPr>
        <w:t>g</w:t>
      </w:r>
      <w:r>
        <w:rPr>
          <w:sz w:val="24"/>
          <w:szCs w:val="32"/>
        </w:rPr>
        <w:t>/mL</w:t>
      </w:r>
      <w:r>
        <w:rPr>
          <w:rFonts w:hint="eastAsia"/>
          <w:sz w:val="24"/>
          <w:szCs w:val="32"/>
        </w:rPr>
        <w:t>).</w:t>
      </w:r>
      <w:r>
        <w:t xml:space="preserve"> </w:t>
      </w:r>
      <w:r>
        <w:rPr>
          <w:sz w:val="24"/>
          <w:szCs w:val="32"/>
        </w:rPr>
        <w:t xml:space="preserve">Before the experiment, the herbal extracted solution was treated by ultrafiltration (3 </w:t>
      </w:r>
      <w:proofErr w:type="spellStart"/>
      <w:r>
        <w:rPr>
          <w:sz w:val="24"/>
          <w:szCs w:val="32"/>
        </w:rPr>
        <w:t>kDa</w:t>
      </w:r>
      <w:proofErr w:type="spellEnd"/>
      <w:r>
        <w:rPr>
          <w:sz w:val="24"/>
          <w:szCs w:val="32"/>
        </w:rPr>
        <w:t>) to remove macromolecules from the mixed system. Because the background signal from macromolecules can affect the detection signal of target protein. After removing macromolecules, the mixture was concentrated in low temperature and vacuum. The concentrated mix (1:10 V</w:t>
      </w:r>
      <w:r>
        <w:rPr>
          <w:rFonts w:hint="eastAsia"/>
          <w:sz w:val="24"/>
          <w:szCs w:val="32"/>
        </w:rPr>
        <w:t>/</w:t>
      </w:r>
      <w:r>
        <w:rPr>
          <w:sz w:val="24"/>
          <w:szCs w:val="32"/>
        </w:rPr>
        <w:t xml:space="preserve">V) was used for thermal stability test, and the dosage of each reaction was 1 </w:t>
      </w:r>
      <w:proofErr w:type="spellStart"/>
      <w:r>
        <w:rPr>
          <w:sz w:val="24"/>
          <w:szCs w:val="32"/>
        </w:rPr>
        <w:t>μL</w:t>
      </w:r>
      <w:proofErr w:type="spellEnd"/>
      <w:r>
        <w:rPr>
          <w:sz w:val="24"/>
          <w:szCs w:val="32"/>
        </w:rPr>
        <w:t>.</w:t>
      </w:r>
    </w:p>
    <w:p w14:paraId="1768CB03" w14:textId="7EC7D136" w:rsidR="00E81DAB" w:rsidRPr="00E81DAB" w:rsidRDefault="00E81DAB" w:rsidP="00E81DAB">
      <w:pPr>
        <w:widowControl/>
        <w:spacing w:line="480" w:lineRule="auto"/>
        <w:jc w:val="left"/>
        <w:rPr>
          <w:b/>
          <w:bCs/>
          <w:sz w:val="24"/>
          <w:szCs w:val="32"/>
        </w:rPr>
      </w:pPr>
      <w:r w:rsidRPr="00E81DAB">
        <w:rPr>
          <w:rFonts w:hint="eastAsia"/>
          <w:b/>
          <w:bCs/>
          <w:sz w:val="24"/>
          <w:szCs w:val="32"/>
        </w:rPr>
        <w:t>Statistics</w:t>
      </w:r>
    </w:p>
    <w:p w14:paraId="4D683EA6" w14:textId="0C80DF23" w:rsidR="00C07748" w:rsidRDefault="00E81DAB" w:rsidP="00C07748">
      <w:pPr>
        <w:spacing w:line="480" w:lineRule="auto"/>
        <w:ind w:firstLineChars="100" w:firstLine="240"/>
        <w:rPr>
          <w:sz w:val="24"/>
          <w:szCs w:val="32"/>
        </w:rPr>
      </w:pPr>
      <w:r>
        <w:rPr>
          <w:sz w:val="24"/>
          <w:szCs w:val="32"/>
        </w:rPr>
        <w:t>The data of protein stability curve were derived from PCR instrument</w:t>
      </w:r>
      <w:r>
        <w:rPr>
          <w:rFonts w:hint="eastAsia"/>
          <w:sz w:val="24"/>
          <w:szCs w:val="32"/>
        </w:rPr>
        <w:t>.</w:t>
      </w:r>
      <w:r>
        <w:rPr>
          <w:sz w:val="24"/>
          <w:szCs w:val="32"/>
        </w:rPr>
        <w:t xml:space="preserve"> Then, the curve is drawn by software (Office Excel, Microsoft), and the highest point of fluorescence signal is taken as Tm value.</w:t>
      </w:r>
      <w:r>
        <w:rPr>
          <w:rFonts w:hint="eastAsia"/>
          <w:sz w:val="24"/>
          <w:szCs w:val="32"/>
        </w:rPr>
        <w:t xml:space="preserve"> Difference in T</w:t>
      </w:r>
      <w:r>
        <w:rPr>
          <w:sz w:val="24"/>
          <w:szCs w:val="32"/>
        </w:rPr>
        <w:t>m</w:t>
      </w:r>
      <w:r>
        <w:rPr>
          <w:rFonts w:hint="eastAsia"/>
          <w:sz w:val="24"/>
          <w:szCs w:val="32"/>
        </w:rPr>
        <w:t xml:space="preserve"> value statistical significance was set at</w:t>
      </w:r>
      <w:r w:rsidRPr="0015284E">
        <w:rPr>
          <w:rFonts w:hint="eastAsia"/>
          <w:i/>
          <w:iCs/>
          <w:sz w:val="24"/>
          <w:szCs w:val="32"/>
        </w:rPr>
        <w:t xml:space="preserve"> </w:t>
      </w:r>
      <w:r w:rsidRPr="0015284E">
        <w:rPr>
          <w:i/>
          <w:iCs/>
          <w:sz w:val="24"/>
          <w:szCs w:val="32"/>
        </w:rPr>
        <w:t>P</w:t>
      </w:r>
      <w:r>
        <w:rPr>
          <w:sz w:val="24"/>
          <w:szCs w:val="32"/>
        </w:rPr>
        <w:t>&lt;0.05</w:t>
      </w:r>
      <w:r>
        <w:rPr>
          <w:rFonts w:hint="eastAsia"/>
          <w:sz w:val="24"/>
          <w:szCs w:val="32"/>
        </w:rPr>
        <w:t>,</w:t>
      </w:r>
      <w:r>
        <w:rPr>
          <w:sz w:val="24"/>
          <w:szCs w:val="32"/>
        </w:rPr>
        <w:t xml:space="preserve"> and </w:t>
      </w:r>
      <w:r w:rsidRPr="0015284E">
        <w:rPr>
          <w:i/>
          <w:iCs/>
          <w:sz w:val="24"/>
          <w:szCs w:val="32"/>
        </w:rPr>
        <w:t>t</w:t>
      </w:r>
      <w:r>
        <w:rPr>
          <w:sz w:val="24"/>
          <w:szCs w:val="32"/>
        </w:rPr>
        <w:t xml:space="preserve"> test used</w:t>
      </w:r>
      <w:r>
        <w:rPr>
          <w:rFonts w:hint="eastAsia"/>
          <w:sz w:val="24"/>
          <w:szCs w:val="32"/>
        </w:rPr>
        <w:t>.</w:t>
      </w:r>
    </w:p>
    <w:p w14:paraId="46FCF364" w14:textId="3F83C31B" w:rsidR="001B030A" w:rsidRPr="001B030A" w:rsidRDefault="001B030A" w:rsidP="001B030A">
      <w:pPr>
        <w:spacing w:line="480" w:lineRule="auto"/>
        <w:rPr>
          <w:sz w:val="24"/>
          <w:szCs w:val="32"/>
        </w:rPr>
      </w:pPr>
      <w:r>
        <w:rPr>
          <w:sz w:val="24"/>
          <w:szCs w:val="32"/>
        </w:rPr>
        <w:t>REFERENCES:</w:t>
      </w:r>
    </w:p>
    <w:p w14:paraId="3075DB61" w14:textId="77777777" w:rsidR="00C07748" w:rsidRPr="00C07748" w:rsidRDefault="00C07748" w:rsidP="00C07748">
      <w:pPr>
        <w:pStyle w:val="a7"/>
        <w:rPr>
          <w:rFonts w:cs="Calibri"/>
        </w:rPr>
      </w:pPr>
      <w:r>
        <w:fldChar w:fldCharType="begin"/>
      </w:r>
      <w:r>
        <w:instrText xml:space="preserve"> ADDIN ZOTERO_BIBL {"uncited":[],"omitted":[],"custom":[]} CSL_BIBLIOGRAPHY </w:instrText>
      </w:r>
      <w:r>
        <w:fldChar w:fldCharType="separate"/>
      </w:r>
      <w:r w:rsidRPr="00C07748">
        <w:rPr>
          <w:rFonts w:cs="Calibri"/>
        </w:rPr>
        <w:t>[1]</w:t>
      </w:r>
      <w:r w:rsidRPr="00C07748">
        <w:rPr>
          <w:rFonts w:cs="Calibri"/>
        </w:rPr>
        <w:tab/>
        <w:t>S. Wang, Z. Qiu, Y. Hou, X. Deng, W. Xu, T. Zheng, P. Wu, S. Xie, W. Bian, C. Zhang, Z. Sun, K. Liu, C. Shan, A. Lin, S. Jiang, Y. Xie, Q. Zhou, L. Lu, J. Huang, X. Li, AXL is a candidate receptor for SARS-CoV-2 that promotes infection of pulmonary and bronchial epithelial cells, Cell Res. 31 (2021) 126–140. https://doi.org/10.1038/s41422-020-00460-y.</w:t>
      </w:r>
    </w:p>
    <w:p w14:paraId="346DDE99" w14:textId="77777777" w:rsidR="00C07748" w:rsidRPr="00C07748" w:rsidRDefault="00C07748" w:rsidP="00C07748">
      <w:pPr>
        <w:pStyle w:val="a7"/>
        <w:rPr>
          <w:rFonts w:cs="Calibri"/>
        </w:rPr>
      </w:pPr>
      <w:r w:rsidRPr="00C07748">
        <w:rPr>
          <w:rFonts w:cs="Calibri"/>
        </w:rPr>
        <w:t>[2]</w:t>
      </w:r>
      <w:r w:rsidRPr="00C07748">
        <w:rPr>
          <w:rFonts w:cs="Calibri"/>
        </w:rPr>
        <w:tab/>
        <w:t>H. Li, L. Xie, L. Chen, L. Zhang, Y. Han, Z. Yan, X. Guo, Genomic, epigenomic, and immune subtype analysis of CTSL/B and SARS-CoV-2 receptor ACE2 in pan-cancer, Aging (Albany NY). 12 (2020) 22370–22389. https://doi.org/10.18632/aging.104147.</w:t>
      </w:r>
    </w:p>
    <w:p w14:paraId="76015C8F" w14:textId="77777777" w:rsidR="00C07748" w:rsidRPr="00C07748" w:rsidRDefault="00C07748" w:rsidP="00C07748">
      <w:pPr>
        <w:pStyle w:val="a7"/>
        <w:rPr>
          <w:rFonts w:cs="Calibri"/>
        </w:rPr>
      </w:pPr>
      <w:r w:rsidRPr="00C07748">
        <w:rPr>
          <w:rFonts w:cs="Calibri"/>
        </w:rPr>
        <w:t>[3]</w:t>
      </w:r>
      <w:r w:rsidRPr="00C07748">
        <w:rPr>
          <w:rFonts w:cs="Calibri"/>
        </w:rPr>
        <w:tab/>
        <w:t>The development of Coronavirus 3C-Like protease (3CL pro) inhibitors from 2010 to 2020 - PubMed, (n.d.). https://pubmed.ncbi.nlm.nih.gov/32810751/ (accessed May 11, 2022).</w:t>
      </w:r>
    </w:p>
    <w:p w14:paraId="2D48D702" w14:textId="77777777" w:rsidR="00C07748" w:rsidRPr="00C07748" w:rsidRDefault="00C07748" w:rsidP="00C07748">
      <w:pPr>
        <w:pStyle w:val="a7"/>
        <w:rPr>
          <w:rFonts w:cs="Calibri"/>
        </w:rPr>
      </w:pPr>
      <w:r w:rsidRPr="00C07748">
        <w:rPr>
          <w:rFonts w:cs="Calibri"/>
        </w:rPr>
        <w:t>[4]</w:t>
      </w:r>
      <w:r w:rsidRPr="00C07748">
        <w:rPr>
          <w:rFonts w:cs="Calibri"/>
        </w:rPr>
        <w:tab/>
        <w:t xml:space="preserve">J. Zhao, B. Cai, Z. Shao, L. Zhang, Y. Zheng, C. Ma, F. Yi, B. Liu, C. Gao, TRIM26 positively </w:t>
      </w:r>
      <w:r w:rsidRPr="00C07748">
        <w:rPr>
          <w:rFonts w:cs="Calibri"/>
        </w:rPr>
        <w:lastRenderedPageBreak/>
        <w:t>regulates the inflammatory immune response through K11-linked ubiquitination of TAB1, Cell Death Differ. 28 (2021) 3077–3091. https://doi.org/10.1038/s41418-021-00803-1.</w:t>
      </w:r>
    </w:p>
    <w:p w14:paraId="5E6D2158" w14:textId="77777777" w:rsidR="00C07748" w:rsidRPr="00C07748" w:rsidRDefault="00C07748" w:rsidP="00C07748">
      <w:pPr>
        <w:pStyle w:val="a7"/>
        <w:rPr>
          <w:rFonts w:cs="Calibri"/>
        </w:rPr>
      </w:pPr>
      <w:r w:rsidRPr="00C07748">
        <w:rPr>
          <w:rFonts w:cs="Calibri"/>
        </w:rPr>
        <w:t>[5]</w:t>
      </w:r>
      <w:r w:rsidRPr="00C07748">
        <w:rPr>
          <w:rFonts w:cs="Calibri"/>
        </w:rPr>
        <w:tab/>
        <w:t>G. Pearson, F. Robinson, T. Beers Gibson, B.E. Xu, M. Karandikar, K. Berman, M.H. Cobb, Mitogen-activated protein (MAP) kinase pathways: regulation and physiological functions, Endocr Rev. 22 (2001) 153–183. https://doi.org/10.1210/edrv.22.2.0428.</w:t>
      </w:r>
    </w:p>
    <w:p w14:paraId="1BA520F6" w14:textId="77777777" w:rsidR="00C07748" w:rsidRPr="00C07748" w:rsidRDefault="00C07748" w:rsidP="00C07748">
      <w:pPr>
        <w:pStyle w:val="a7"/>
        <w:rPr>
          <w:rFonts w:cs="Calibri"/>
        </w:rPr>
      </w:pPr>
      <w:r w:rsidRPr="00C07748">
        <w:rPr>
          <w:rFonts w:cs="Calibri"/>
        </w:rPr>
        <w:t>[6]</w:t>
      </w:r>
      <w:r w:rsidRPr="00C07748">
        <w:rPr>
          <w:rFonts w:cs="Calibri"/>
        </w:rPr>
        <w:tab/>
        <w:t>H.E. Harris, U. Andersson, D.S. Pisetsky, HMGB1: a multifunctional alarmin driving autoimmune and inflammatory disease, Nat Rev Rheumatol. 8 (2012) 195–202. https://doi.org/10.1038/nrrheum.2011.222.</w:t>
      </w:r>
    </w:p>
    <w:p w14:paraId="28EE37BD" w14:textId="77777777" w:rsidR="00C07748" w:rsidRPr="00C07748" w:rsidRDefault="00C07748" w:rsidP="00C07748">
      <w:pPr>
        <w:pStyle w:val="a7"/>
        <w:rPr>
          <w:rFonts w:cs="Calibri"/>
        </w:rPr>
      </w:pPr>
      <w:r w:rsidRPr="00C07748">
        <w:rPr>
          <w:rFonts w:cs="Calibri"/>
        </w:rPr>
        <w:t>[7]</w:t>
      </w:r>
      <w:r w:rsidRPr="00C07748">
        <w:rPr>
          <w:rFonts w:cs="Calibri"/>
        </w:rPr>
        <w:tab/>
        <w:t>V. Dallacasagrande, K.A. Hajjar, Annexin A2 in Inflammation and Host Defense, Cells. 9 (2020) E1499. https://doi.org/10.3390/cells9061499.</w:t>
      </w:r>
    </w:p>
    <w:p w14:paraId="27E9A2C7" w14:textId="4A71C279" w:rsidR="003E3B15" w:rsidRDefault="00C07748">
      <w:r>
        <w:fldChar w:fldCharType="end"/>
      </w:r>
    </w:p>
    <w:sectPr w:rsidR="003E3B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82C98" w14:textId="77777777" w:rsidR="00BD039A" w:rsidRDefault="00BD039A" w:rsidP="00E81DAB">
      <w:r>
        <w:separator/>
      </w:r>
    </w:p>
  </w:endnote>
  <w:endnote w:type="continuationSeparator" w:id="0">
    <w:p w14:paraId="57C2216B" w14:textId="77777777" w:rsidR="00BD039A" w:rsidRDefault="00BD039A" w:rsidP="00E81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23C92" w14:textId="77777777" w:rsidR="00BD039A" w:rsidRDefault="00BD039A" w:rsidP="00E81DAB">
      <w:r>
        <w:separator/>
      </w:r>
    </w:p>
  </w:footnote>
  <w:footnote w:type="continuationSeparator" w:id="0">
    <w:p w14:paraId="76875ED6" w14:textId="77777777" w:rsidR="00BD039A" w:rsidRDefault="00BD039A" w:rsidP="00E81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00D"/>
    <w:rsid w:val="0015000D"/>
    <w:rsid w:val="001B030A"/>
    <w:rsid w:val="002D205A"/>
    <w:rsid w:val="0033164A"/>
    <w:rsid w:val="003E3B15"/>
    <w:rsid w:val="007A74A0"/>
    <w:rsid w:val="00B97998"/>
    <w:rsid w:val="00BD039A"/>
    <w:rsid w:val="00C07748"/>
    <w:rsid w:val="00E81DAB"/>
    <w:rsid w:val="00FF0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77ECA"/>
  <w15:chartTrackingRefBased/>
  <w15:docId w15:val="{EB50DCD0-791B-459F-97D9-81300D5D9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1DAB"/>
    <w:pPr>
      <w:widowControl w:val="0"/>
      <w:jc w:val="both"/>
    </w:pPr>
    <w:rPr>
      <w:rFonts w:ascii="Calibri" w:eastAsia="宋体" w:hAnsi="Calibri" w:cs="Times New Roman"/>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1DA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lang w:val="en-US"/>
    </w:rPr>
  </w:style>
  <w:style w:type="character" w:customStyle="1" w:styleId="a4">
    <w:name w:val="页眉 字符"/>
    <w:basedOn w:val="a0"/>
    <w:link w:val="a3"/>
    <w:uiPriority w:val="99"/>
    <w:rsid w:val="00E81DAB"/>
    <w:rPr>
      <w:sz w:val="18"/>
      <w:szCs w:val="18"/>
    </w:rPr>
  </w:style>
  <w:style w:type="paragraph" w:styleId="a5">
    <w:name w:val="footer"/>
    <w:basedOn w:val="a"/>
    <w:link w:val="a6"/>
    <w:uiPriority w:val="99"/>
    <w:unhideWhenUsed/>
    <w:rsid w:val="00E81DAB"/>
    <w:pPr>
      <w:tabs>
        <w:tab w:val="center" w:pos="4153"/>
        <w:tab w:val="right" w:pos="8306"/>
      </w:tabs>
      <w:snapToGrid w:val="0"/>
      <w:jc w:val="left"/>
    </w:pPr>
    <w:rPr>
      <w:rFonts w:asciiTheme="minorHAnsi" w:eastAsiaTheme="minorEastAsia" w:hAnsiTheme="minorHAnsi" w:cstheme="minorBidi"/>
      <w:sz w:val="18"/>
      <w:szCs w:val="18"/>
      <w:lang w:val="en-US"/>
    </w:rPr>
  </w:style>
  <w:style w:type="character" w:customStyle="1" w:styleId="a6">
    <w:name w:val="页脚 字符"/>
    <w:basedOn w:val="a0"/>
    <w:link w:val="a5"/>
    <w:uiPriority w:val="99"/>
    <w:rsid w:val="00E81DAB"/>
    <w:rPr>
      <w:sz w:val="18"/>
      <w:szCs w:val="18"/>
    </w:rPr>
  </w:style>
  <w:style w:type="paragraph" w:styleId="a7">
    <w:name w:val="Bibliography"/>
    <w:basedOn w:val="a"/>
    <w:next w:val="a"/>
    <w:uiPriority w:val="37"/>
    <w:unhideWhenUsed/>
    <w:rsid w:val="00C07748"/>
    <w:pPr>
      <w:tabs>
        <w:tab w:val="left" w:pos="384"/>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3029</Words>
  <Characters>17267</Characters>
  <Application>Microsoft Office Word</Application>
  <DocSecurity>0</DocSecurity>
  <Lines>143</Lines>
  <Paragraphs>40</Paragraphs>
  <ScaleCrop>false</ScaleCrop>
  <Company/>
  <LinksUpToDate>false</LinksUpToDate>
  <CharactersWithSpaces>20256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peng</dc:creator>
  <cp:keywords/>
  <dc:description/>
  <cp:lastModifiedBy>chen peng</cp:lastModifiedBy>
  <cp:revision>6</cp:revision>
  <dcterms:created xsi:type="dcterms:W3CDTF">2022-07-01T03:30:00Z</dcterms:created>
  <dcterms:modified xsi:type="dcterms:W3CDTF">2022-07-04T00:15:00Z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zotero-version="6.0.8"&gt;&lt;session id="DxdGi6ZH"/&gt;&lt;style id="http://www.zotero.org/styles/biochemical-pharmacology" hasBibliography="1" bibliographyStyleHasBeenSet="1"/&gt;&lt;prefs&gt;&lt;pref name="fieldType" value="Field"/&gt;&lt;/prefs&gt;&lt;/data&gt;</vt:lpwstr>
  </property>
</Properties>
</file>