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3282A" w14:textId="03AF84C8" w:rsidR="002975D5" w:rsidRPr="002975D5" w:rsidRDefault="002975D5" w:rsidP="002975D5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</w:rPr>
      </w:pPr>
      <w:r w:rsidRPr="002975D5">
        <w:rPr>
          <w:rFonts w:ascii="Times New Roman" w:eastAsia="等线" w:hAnsi="Times New Roman" w:cs="Times New Roman"/>
          <w:color w:val="000000"/>
          <w:kern w:val="0"/>
          <w:szCs w:val="21"/>
        </w:rPr>
        <w:t xml:space="preserve">Table 2 Clinical application of </w:t>
      </w:r>
      <w:bookmarkStart w:id="0" w:name="_GoBack"/>
      <w:bookmarkEnd w:id="0"/>
      <w:r w:rsidRPr="002975D5">
        <w:rPr>
          <w:rFonts w:ascii="Times New Roman" w:eastAsia="等线" w:hAnsi="Times New Roman" w:cs="Times New Roman"/>
          <w:color w:val="000000"/>
          <w:kern w:val="0"/>
          <w:szCs w:val="21"/>
        </w:rPr>
        <w:t>detection methods in HBV infection</w:t>
      </w:r>
    </w:p>
    <w:tbl>
      <w:tblPr>
        <w:tblW w:w="8888" w:type="dxa"/>
        <w:tblInd w:w="108" w:type="dxa"/>
        <w:tblLook w:val="04A0" w:firstRow="1" w:lastRow="0" w:firstColumn="1" w:lastColumn="0" w:noHBand="0" w:noVBand="1"/>
      </w:tblPr>
      <w:tblGrid>
        <w:gridCol w:w="1068"/>
        <w:gridCol w:w="2390"/>
        <w:gridCol w:w="2730"/>
        <w:gridCol w:w="2700"/>
      </w:tblGrid>
      <w:tr w:rsidR="002975D5" w:rsidRPr="002975D5" w14:paraId="34FA96FF" w14:textId="77777777" w:rsidTr="002975D5">
        <w:trPr>
          <w:trHeight w:val="29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CFB5" w14:textId="3C4E363A" w:rsidR="002975D5" w:rsidRPr="002975D5" w:rsidRDefault="002975D5" w:rsidP="002975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13B7" w14:textId="77777777" w:rsidR="002975D5" w:rsidRPr="002975D5" w:rsidRDefault="002975D5" w:rsidP="002975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3FD5" w14:textId="77777777" w:rsidR="002975D5" w:rsidRPr="002975D5" w:rsidRDefault="002975D5" w:rsidP="002975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74AA" w14:textId="77777777" w:rsidR="002975D5" w:rsidRPr="002975D5" w:rsidRDefault="002975D5" w:rsidP="002975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975D5" w:rsidRPr="002975D5" w14:paraId="74F1A918" w14:textId="77777777" w:rsidTr="002975D5">
        <w:trPr>
          <w:trHeight w:val="570"/>
        </w:trPr>
        <w:tc>
          <w:tcPr>
            <w:tcW w:w="10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C7F7B26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Detection methods</w:t>
            </w:r>
          </w:p>
        </w:tc>
        <w:tc>
          <w:tcPr>
            <w:tcW w:w="239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A4115D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Disadvantages</w:t>
            </w:r>
          </w:p>
        </w:tc>
        <w:tc>
          <w:tcPr>
            <w:tcW w:w="273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E3AC4DF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Advantages</w:t>
            </w:r>
          </w:p>
        </w:tc>
        <w:tc>
          <w:tcPr>
            <w:tcW w:w="270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F9F7FAC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Clinical application</w:t>
            </w:r>
          </w:p>
        </w:tc>
      </w:tr>
      <w:tr w:rsidR="002975D5" w:rsidRPr="002975D5" w14:paraId="747FAD7A" w14:textId="77777777" w:rsidTr="002975D5">
        <w:trPr>
          <w:trHeight w:val="81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10616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qPCR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36A4F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requirements for personnel and working environment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23D54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Fast, specific and sensitive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7972F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Direct detection of the HBV-DNA in serum</w:t>
            </w:r>
          </w:p>
        </w:tc>
      </w:tr>
      <w:tr w:rsidR="002975D5" w:rsidRPr="002975D5" w14:paraId="51582DA7" w14:textId="77777777" w:rsidTr="002975D5">
        <w:trPr>
          <w:trHeight w:val="135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F257E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ELISA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E3C7F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Temporary reading: the detection is based on enzyme/substrate reaction, so the reading must be obtained in a short time.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3B94A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Simple operation, high sensitivity, strong specificity and good repeatability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82DF7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HBsAg and </w:t>
            </w:r>
            <w:proofErr w:type="spellStart"/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orther</w:t>
            </w:r>
            <w:proofErr w:type="spellEnd"/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HBV serum markers in the blood is usually qualitative detected</w:t>
            </w:r>
          </w:p>
        </w:tc>
      </w:tr>
      <w:tr w:rsidR="002975D5" w:rsidRPr="002975D5" w14:paraId="75CC984D" w14:textId="77777777" w:rsidTr="002975D5">
        <w:trPr>
          <w:trHeight w:val="108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C401A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CLIA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3F685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Reagent cost is high, instrument cost is expensive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51453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label has long validity period, simple operation, easy to realize full automation, and reduce human operation error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97CFC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Quantitative detection of HBV serum markers (including HBsAg, anti-HBs, </w:t>
            </w:r>
            <w:proofErr w:type="spellStart"/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HBeAg</w:t>
            </w:r>
            <w:proofErr w:type="spellEnd"/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, anti-</w:t>
            </w:r>
            <w:proofErr w:type="spellStart"/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HBe</w:t>
            </w:r>
            <w:proofErr w:type="spellEnd"/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, anti-</w:t>
            </w:r>
            <w:proofErr w:type="spellStart"/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HBc</w:t>
            </w:r>
            <w:proofErr w:type="spellEnd"/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, etc.)</w:t>
            </w:r>
          </w:p>
        </w:tc>
      </w:tr>
      <w:tr w:rsidR="002975D5" w:rsidRPr="002975D5" w14:paraId="08088366" w14:textId="77777777" w:rsidTr="002975D5">
        <w:trPr>
          <w:trHeight w:val="81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BAA1F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MIEA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A53B0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cost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9340B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sensitivity, strong specificity, good repeatability and easy operation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E712C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Accepted reference method for the quantitative determination of HBV serological markers</w:t>
            </w:r>
          </w:p>
        </w:tc>
      </w:tr>
      <w:tr w:rsidR="002975D5" w:rsidRPr="002975D5" w14:paraId="11272383" w14:textId="77777777" w:rsidTr="002975D5">
        <w:trPr>
          <w:trHeight w:val="825"/>
        </w:trPr>
        <w:tc>
          <w:tcPr>
            <w:tcW w:w="10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49A58E6F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24"/>
                <w:szCs w:val="24"/>
              </w:rPr>
            </w:pPr>
            <w:r w:rsidRPr="002975D5">
              <w:rPr>
                <w:rFonts w:ascii="Times New Roman" w:eastAsia="等线" w:hAnsi="Times New Roman" w:cs="Times New Roman"/>
                <w:color w:val="333333"/>
                <w:kern w:val="0"/>
                <w:sz w:val="24"/>
                <w:szCs w:val="24"/>
              </w:rPr>
              <w:t>CMIA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6F5622DF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cost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5684AA17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Automatic operation, high throughput, fast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3A7E0F8B" w14:textId="77777777" w:rsidR="002975D5" w:rsidRPr="002975D5" w:rsidRDefault="002975D5" w:rsidP="002975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75D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Widely used in the quantitative detection of serological markers of HBV infection</w:t>
            </w:r>
          </w:p>
        </w:tc>
      </w:tr>
    </w:tbl>
    <w:p w14:paraId="61A7D567" w14:textId="77777777" w:rsidR="00127B4A" w:rsidRPr="002975D5" w:rsidRDefault="00127B4A"/>
    <w:sectPr w:rsidR="00127B4A" w:rsidRPr="00297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29F7"/>
    <w:rsid w:val="00127B4A"/>
    <w:rsid w:val="002975D5"/>
    <w:rsid w:val="00B1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0E2A"/>
  <w15:chartTrackingRefBased/>
  <w15:docId w15:val="{5249AEE5-A866-4523-8C79-FD2625B3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LiuYingzly</dc:creator>
  <cp:keywords/>
  <dc:description/>
  <cp:lastModifiedBy>LiuYingzly</cp:lastModifiedBy>
  <cp:revision>2</cp:revision>
  <dcterms:created xsi:type="dcterms:W3CDTF">2023-06-24T04:10:00Z</dcterms:created>
  <dcterms:modified xsi:type="dcterms:W3CDTF">2023-06-24T04:11:00Z</dcterms:modified>
</cp:coreProperties>
</file>